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5ED095" w14:textId="77777777" w:rsidR="00FE0AE4" w:rsidRDefault="00FE0AE4"/>
    <w:p w14:paraId="545AB13D" w14:textId="52293AC6" w:rsidR="00FE0AE4" w:rsidRDefault="00FE0AE4">
      <w:r>
        <w:t>Des armes pour contester le motif économique d’un licenciement</w:t>
      </w:r>
    </w:p>
    <w:p w14:paraId="00745EC9" w14:textId="77777777" w:rsidR="00FE0AE4" w:rsidRDefault="00FE0AE4"/>
    <w:p w14:paraId="3DF6B6C8" w14:textId="77777777" w:rsidR="00FE0AE4" w:rsidRDefault="00FE0AE4"/>
    <w:p w14:paraId="7D4174FA" w14:textId="0D74C949" w:rsidR="00EB4053" w:rsidRDefault="00FF0AA3">
      <w:r>
        <w:t>Licenciement pour motif économique : Préparer sa décision</w:t>
      </w:r>
    </w:p>
    <w:p w14:paraId="3C8D5514" w14:textId="1E431F1B" w:rsidR="00FF0AA3" w:rsidRDefault="00FF0AA3">
      <w:r>
        <w:t xml:space="preserve">La législation nous indique que le motif est réel et sérieux </w:t>
      </w:r>
      <w:proofErr w:type="spellStart"/>
      <w:r>
        <w:t>lorsuq’il</w:t>
      </w:r>
      <w:proofErr w:type="spellEnd"/>
      <w:r>
        <w:t xml:space="preserve"> repose sur plusieurs faits objectifs </w:t>
      </w:r>
      <w:proofErr w:type="gramStart"/>
      <w:r>
        <w:t>( généralement</w:t>
      </w:r>
      <w:proofErr w:type="gramEnd"/>
      <w:r>
        <w:t xml:space="preserve"> des chiffre) susceptibles d’être prouvés (</w:t>
      </w:r>
      <w:proofErr w:type="spellStart"/>
      <w:r>
        <w:t>piéces</w:t>
      </w:r>
      <w:proofErr w:type="spellEnd"/>
      <w:r>
        <w:t xml:space="preserve"> comptables, études prospectives).</w:t>
      </w:r>
    </w:p>
    <w:p w14:paraId="7AF07F18" w14:textId="7398BD77" w:rsidR="00FF0AA3" w:rsidRDefault="00FF0AA3">
      <w:pPr>
        <w:rPr>
          <w:rFonts w:ascii="Arial" w:hAnsi="Arial" w:cs="Arial"/>
          <w:color w:val="212529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212529"/>
          <w:sz w:val="26"/>
          <w:szCs w:val="26"/>
          <w:shd w:val="clear" w:color="auto" w:fill="FFFFFF"/>
        </w:rPr>
        <w:t>En pratique, attention au maniement de ce motif. Il ne faut pas confondre la sauvegarde de la compétitivité avec notamment le désir d’améliorer les résultats </w:t>
      </w:r>
      <w:r>
        <w:rPr>
          <w:rFonts w:ascii="Arial" w:hAnsi="Arial" w:cs="Arial"/>
          <w:b/>
          <w:bCs/>
          <w:color w:val="212529"/>
          <w:sz w:val="26"/>
          <w:szCs w:val="26"/>
          <w:shd w:val="clear" w:color="auto" w:fill="FFFFFF"/>
        </w:rPr>
        <w:t>(12)</w:t>
      </w:r>
      <w:r>
        <w:rPr>
          <w:rFonts w:ascii="Arial" w:hAnsi="Arial" w:cs="Arial"/>
          <w:color w:val="212529"/>
          <w:sz w:val="26"/>
          <w:szCs w:val="26"/>
          <w:shd w:val="clear" w:color="auto" w:fill="FFFFFF"/>
        </w:rPr>
        <w:t>, la volonté d’éviter les doublons lors de l’intégration d’une société à un groupe </w:t>
      </w:r>
      <w:r>
        <w:rPr>
          <w:rFonts w:ascii="Arial" w:hAnsi="Arial" w:cs="Arial"/>
          <w:b/>
          <w:bCs/>
          <w:color w:val="212529"/>
          <w:sz w:val="26"/>
          <w:szCs w:val="26"/>
          <w:shd w:val="clear" w:color="auto" w:fill="FFFFFF"/>
        </w:rPr>
        <w:t>(13)</w:t>
      </w:r>
      <w:r>
        <w:rPr>
          <w:rFonts w:ascii="Arial" w:hAnsi="Arial" w:cs="Arial"/>
          <w:color w:val="212529"/>
          <w:sz w:val="26"/>
          <w:szCs w:val="26"/>
          <w:shd w:val="clear" w:color="auto" w:fill="FFFFFF"/>
        </w:rPr>
        <w:t>, ou encore la décision de gestion de réduire la masse salariale </w:t>
      </w:r>
      <w:r>
        <w:rPr>
          <w:rFonts w:ascii="Arial" w:hAnsi="Arial" w:cs="Arial"/>
          <w:b/>
          <w:bCs/>
          <w:color w:val="212529"/>
          <w:sz w:val="26"/>
          <w:szCs w:val="26"/>
          <w:shd w:val="clear" w:color="auto" w:fill="FFFFFF"/>
        </w:rPr>
        <w:t>(14)</w:t>
      </w:r>
      <w:r>
        <w:rPr>
          <w:rFonts w:ascii="Arial" w:hAnsi="Arial" w:cs="Arial"/>
          <w:color w:val="212529"/>
          <w:sz w:val="26"/>
          <w:szCs w:val="26"/>
          <w:shd w:val="clear" w:color="auto" w:fill="FFFFFF"/>
        </w:rPr>
        <w:t>, voire de rationaliser les structures </w:t>
      </w:r>
      <w:r>
        <w:rPr>
          <w:rFonts w:ascii="Arial" w:hAnsi="Arial" w:cs="Arial"/>
          <w:b/>
          <w:bCs/>
          <w:color w:val="212529"/>
          <w:sz w:val="26"/>
          <w:szCs w:val="26"/>
          <w:shd w:val="clear" w:color="auto" w:fill="FFFFFF"/>
        </w:rPr>
        <w:t>(15)</w:t>
      </w:r>
      <w:r>
        <w:rPr>
          <w:rFonts w:ascii="Arial" w:hAnsi="Arial" w:cs="Arial"/>
          <w:color w:val="212529"/>
          <w:sz w:val="26"/>
          <w:szCs w:val="26"/>
          <w:shd w:val="clear" w:color="auto" w:fill="FFFFFF"/>
        </w:rPr>
        <w:t>.</w:t>
      </w:r>
    </w:p>
    <w:p w14:paraId="6833268D" w14:textId="77777777" w:rsidR="00FE0AE4" w:rsidRDefault="00FE0AE4">
      <w:pPr>
        <w:rPr>
          <w:rFonts w:ascii="Arial" w:hAnsi="Arial" w:cs="Arial"/>
          <w:color w:val="212529"/>
          <w:sz w:val="26"/>
          <w:szCs w:val="26"/>
          <w:shd w:val="clear" w:color="auto" w:fill="FFFFFF"/>
        </w:rPr>
      </w:pPr>
    </w:p>
    <w:p w14:paraId="62A6D545" w14:textId="77777777" w:rsidR="00FE0AE4" w:rsidRPr="00FE0AE4" w:rsidRDefault="00FE0AE4" w:rsidP="00FE0A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A2E30"/>
          <w:kern w:val="0"/>
          <w:sz w:val="24"/>
          <w:szCs w:val="24"/>
          <w:lang w:eastAsia="fr-FR"/>
          <w14:ligatures w14:val="none"/>
        </w:rPr>
      </w:pPr>
      <w:r w:rsidRPr="00FE0AE4">
        <w:rPr>
          <w:rFonts w:ascii="Lato" w:eastAsia="Times New Roman" w:hAnsi="Lato" w:cs="Times New Roman"/>
          <w:b/>
          <w:bCs/>
          <w:i/>
          <w:iCs/>
          <w:color w:val="2A2E30"/>
          <w:kern w:val="0"/>
          <w:sz w:val="24"/>
          <w:szCs w:val="24"/>
          <w:u w:val="single"/>
          <w:lang w:eastAsia="fr-FR"/>
          <w14:ligatures w14:val="none"/>
        </w:rPr>
        <w:t>La sauvegarde de la compétitivité de l’entreprise</w:t>
      </w:r>
    </w:p>
    <w:p w14:paraId="355098BA" w14:textId="77777777" w:rsidR="00FE0AE4" w:rsidRPr="00FE0AE4" w:rsidRDefault="00FE0AE4" w:rsidP="00FE0AE4">
      <w:pPr>
        <w:shd w:val="clear" w:color="auto" w:fill="FFFFFF"/>
        <w:spacing w:after="100" w:afterAutospacing="1" w:line="240" w:lineRule="auto"/>
        <w:rPr>
          <w:rFonts w:ascii="Lato" w:eastAsia="Times New Roman" w:hAnsi="Lato" w:cs="Times New Roman"/>
          <w:color w:val="2A2E30"/>
          <w:kern w:val="0"/>
          <w:sz w:val="24"/>
          <w:szCs w:val="24"/>
          <w:lang w:eastAsia="fr-FR"/>
          <w14:ligatures w14:val="none"/>
        </w:rPr>
      </w:pPr>
      <w:r w:rsidRPr="00FE0AE4">
        <w:rPr>
          <w:rFonts w:ascii="Lato" w:eastAsia="Times New Roman" w:hAnsi="Lato" w:cs="Times New Roman"/>
          <w:color w:val="2A2E30"/>
          <w:kern w:val="0"/>
          <w:sz w:val="24"/>
          <w:szCs w:val="24"/>
          <w:lang w:eastAsia="fr-FR"/>
          <w14:ligatures w14:val="none"/>
        </w:rPr>
        <w:t>La charge de la preuve incombe là encore à l’employeur.</w:t>
      </w:r>
    </w:p>
    <w:p w14:paraId="6FFFD72F" w14:textId="77777777" w:rsidR="00FE0AE4" w:rsidRPr="00FE0AE4" w:rsidRDefault="00FE0AE4" w:rsidP="00FE0AE4">
      <w:pPr>
        <w:shd w:val="clear" w:color="auto" w:fill="FFFFFF"/>
        <w:spacing w:after="100" w:afterAutospacing="1" w:line="240" w:lineRule="auto"/>
        <w:rPr>
          <w:rFonts w:ascii="Lato" w:eastAsia="Times New Roman" w:hAnsi="Lato" w:cs="Times New Roman"/>
          <w:color w:val="2A2E30"/>
          <w:kern w:val="0"/>
          <w:sz w:val="24"/>
          <w:szCs w:val="24"/>
          <w:lang w:eastAsia="fr-FR"/>
          <w14:ligatures w14:val="none"/>
        </w:rPr>
      </w:pPr>
      <w:r w:rsidRPr="00FE0AE4">
        <w:rPr>
          <w:rFonts w:ascii="Lato" w:eastAsia="Times New Roman" w:hAnsi="Lato" w:cs="Times New Roman"/>
          <w:color w:val="2A2E30"/>
          <w:kern w:val="0"/>
          <w:sz w:val="24"/>
          <w:szCs w:val="24"/>
          <w:lang w:eastAsia="fr-FR"/>
          <w14:ligatures w14:val="none"/>
        </w:rPr>
        <w:t>Il doit être en mesure de faire état de circonstances particulières et nouvelles justifiant de ce que la compétitivité de l’entreprise est en péril.</w:t>
      </w:r>
    </w:p>
    <w:p w14:paraId="44EF0815" w14:textId="77777777" w:rsidR="00FE0AE4" w:rsidRPr="00FE0AE4" w:rsidRDefault="00FE0AE4" w:rsidP="00FE0AE4">
      <w:pPr>
        <w:shd w:val="clear" w:color="auto" w:fill="FFFFFF"/>
        <w:spacing w:after="100" w:afterAutospacing="1" w:line="240" w:lineRule="auto"/>
        <w:rPr>
          <w:rFonts w:ascii="Lato" w:eastAsia="Times New Roman" w:hAnsi="Lato" w:cs="Times New Roman"/>
          <w:color w:val="2A2E30"/>
          <w:kern w:val="0"/>
          <w:sz w:val="24"/>
          <w:szCs w:val="24"/>
          <w:lang w:eastAsia="fr-FR"/>
          <w14:ligatures w14:val="none"/>
        </w:rPr>
      </w:pPr>
      <w:r w:rsidRPr="00FE0AE4">
        <w:rPr>
          <w:rFonts w:ascii="Lato" w:eastAsia="Times New Roman" w:hAnsi="Lato" w:cs="Times New Roman"/>
          <w:color w:val="2A2E30"/>
          <w:kern w:val="0"/>
          <w:sz w:val="24"/>
          <w:szCs w:val="24"/>
          <w:lang w:eastAsia="fr-FR"/>
          <w14:ligatures w14:val="none"/>
        </w:rPr>
        <w:t>L’employeur doit être en mesure d’établir l’existence de menaces réelles et concrètes pesant sur la compétitivité de l’entreprise comme l’arrivée d’un nouveau concurrent majeur sur le marché par exemple.</w:t>
      </w:r>
    </w:p>
    <w:p w14:paraId="2115D796" w14:textId="77777777" w:rsidR="00FE0AE4" w:rsidRPr="00FE0AE4" w:rsidRDefault="00FE0AE4" w:rsidP="00FE0AE4">
      <w:pPr>
        <w:shd w:val="clear" w:color="auto" w:fill="FFFFFF"/>
        <w:spacing w:after="100" w:afterAutospacing="1" w:line="240" w:lineRule="auto"/>
        <w:rPr>
          <w:rFonts w:ascii="Lato" w:eastAsia="Times New Roman" w:hAnsi="Lato" w:cs="Times New Roman"/>
          <w:color w:val="2A2E30"/>
          <w:kern w:val="0"/>
          <w:sz w:val="24"/>
          <w:szCs w:val="24"/>
          <w:lang w:eastAsia="fr-FR"/>
          <w14:ligatures w14:val="none"/>
        </w:rPr>
      </w:pPr>
      <w:r w:rsidRPr="00FE0AE4">
        <w:rPr>
          <w:rFonts w:ascii="Lato" w:eastAsia="Times New Roman" w:hAnsi="Lato" w:cs="Times New Roman"/>
          <w:color w:val="2A2E30"/>
          <w:kern w:val="0"/>
          <w:sz w:val="24"/>
          <w:szCs w:val="24"/>
          <w:lang w:eastAsia="fr-FR"/>
          <w14:ligatures w14:val="none"/>
        </w:rPr>
        <w:t xml:space="preserve">En tout état de cause, même à supposer établie cette menace sur la compétitivité de </w:t>
      </w:r>
      <w:proofErr w:type="gramStart"/>
      <w:r w:rsidRPr="00FE0AE4">
        <w:rPr>
          <w:rFonts w:ascii="Lato" w:eastAsia="Times New Roman" w:hAnsi="Lato" w:cs="Times New Roman"/>
          <w:color w:val="2A2E30"/>
          <w:kern w:val="0"/>
          <w:sz w:val="24"/>
          <w:szCs w:val="24"/>
          <w:lang w:eastAsia="fr-FR"/>
          <w14:ligatures w14:val="none"/>
        </w:rPr>
        <w:t>l’entreprise,  la</w:t>
      </w:r>
      <w:proofErr w:type="gramEnd"/>
      <w:r w:rsidRPr="00FE0AE4">
        <w:rPr>
          <w:rFonts w:ascii="Lato" w:eastAsia="Times New Roman" w:hAnsi="Lato" w:cs="Times New Roman"/>
          <w:color w:val="2A2E30"/>
          <w:kern w:val="0"/>
          <w:sz w:val="24"/>
          <w:szCs w:val="24"/>
          <w:lang w:eastAsia="fr-FR"/>
          <w14:ligatures w14:val="none"/>
        </w:rPr>
        <w:t xml:space="preserve"> société doit pouvoir justifier en quoi est ce que le licenciement du salarié permet d’y palier.</w:t>
      </w:r>
    </w:p>
    <w:p w14:paraId="54765B48" w14:textId="77777777" w:rsidR="00FE0AE4" w:rsidRDefault="00FE0AE4">
      <w:pPr>
        <w:rPr>
          <w:rFonts w:ascii="Arial" w:hAnsi="Arial" w:cs="Arial"/>
          <w:color w:val="212529"/>
          <w:sz w:val="26"/>
          <w:szCs w:val="26"/>
          <w:shd w:val="clear" w:color="auto" w:fill="FFFFFF"/>
        </w:rPr>
      </w:pPr>
    </w:p>
    <w:p w14:paraId="68FD0491" w14:textId="5079D1AB" w:rsidR="00FE0AE4" w:rsidRDefault="00FE0AE4">
      <w:pPr>
        <w:rPr>
          <w:rFonts w:ascii="Lato" w:hAnsi="Lato"/>
          <w:color w:val="2A2E30"/>
          <w:shd w:val="clear" w:color="auto" w:fill="FFFFFF"/>
        </w:rPr>
      </w:pPr>
      <w:r>
        <w:rPr>
          <w:rFonts w:ascii="Lato" w:hAnsi="Lato"/>
          <w:color w:val="2A2E30"/>
          <w:shd w:val="clear" w:color="auto" w:fill="FFFFFF"/>
        </w:rPr>
        <w:t>Comme tout licenciement, le licenciement pour motif économique doit être motivé et justifié par une cause réelle et sérieuse.</w:t>
      </w:r>
    </w:p>
    <w:p w14:paraId="5C6640F8" w14:textId="25BC24CB" w:rsidR="00FE0AE4" w:rsidRDefault="00FE0AE4">
      <w:pPr>
        <w:rPr>
          <w:rFonts w:ascii="Lato" w:hAnsi="Lato"/>
          <w:color w:val="2A2E30"/>
          <w:shd w:val="clear" w:color="auto" w:fill="FFFFFF"/>
        </w:rPr>
      </w:pPr>
      <w:r>
        <w:rPr>
          <w:rFonts w:ascii="Lato" w:hAnsi="Lato"/>
          <w:color w:val="2A2E30"/>
          <w:shd w:val="clear" w:color="auto" w:fill="FFFFFF"/>
        </w:rPr>
        <w:t xml:space="preserve">En effet, de nombreux employeurs tentent de déformer la réalité de leur situation économique en arguant de la baisse d’activité ou de chiffre </w:t>
      </w:r>
      <w:proofErr w:type="gramStart"/>
      <w:r>
        <w:rPr>
          <w:rFonts w:ascii="Lato" w:hAnsi="Lato"/>
          <w:color w:val="2A2E30"/>
          <w:shd w:val="clear" w:color="auto" w:fill="FFFFFF"/>
        </w:rPr>
        <w:t>d’affaire</w:t>
      </w:r>
      <w:proofErr w:type="gramEnd"/>
      <w:r>
        <w:rPr>
          <w:rFonts w:ascii="Lato" w:hAnsi="Lato"/>
          <w:color w:val="2A2E30"/>
          <w:shd w:val="clear" w:color="auto" w:fill="FFFFFF"/>
        </w:rPr>
        <w:t xml:space="preserve"> d’un domaine de leur activité sans faire état de l’ensemble. Ce saucissonnage de circonstance doit être dénoncé.</w:t>
      </w:r>
    </w:p>
    <w:p w14:paraId="415959AE" w14:textId="77777777" w:rsidR="002107FE" w:rsidRDefault="002107FE">
      <w:pPr>
        <w:rPr>
          <w:rFonts w:ascii="Lato" w:hAnsi="Lato"/>
          <w:color w:val="2A2E30"/>
          <w:shd w:val="clear" w:color="auto" w:fill="FFFFFF"/>
        </w:rPr>
      </w:pPr>
    </w:p>
    <w:p w14:paraId="008F1087" w14:textId="77777777" w:rsidR="002107FE" w:rsidRPr="002107FE" w:rsidRDefault="002107FE" w:rsidP="002107FE">
      <w:pPr>
        <w:shd w:val="clear" w:color="auto" w:fill="FFFFFF"/>
        <w:spacing w:after="180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fr-FR"/>
          <w14:ligatures w14:val="none"/>
        </w:rPr>
      </w:pPr>
      <w:r w:rsidRPr="002107FE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fr-FR"/>
          <w14:ligatures w14:val="none"/>
        </w:rPr>
        <w:t>En revanche, les raisons suivantes sont régulièrement sanctionnées :</w:t>
      </w:r>
    </w:p>
    <w:p w14:paraId="0B79B8E7" w14:textId="77777777" w:rsidR="002107FE" w:rsidRPr="002107FE" w:rsidRDefault="002107FE" w:rsidP="002107FE">
      <w:pPr>
        <w:numPr>
          <w:ilvl w:val="0"/>
          <w:numId w:val="2"/>
        </w:numPr>
        <w:shd w:val="clear" w:color="auto" w:fill="FFFFFF"/>
        <w:spacing w:before="100" w:beforeAutospacing="1" w:after="4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fr-FR"/>
          <w14:ligatures w14:val="none"/>
        </w:rPr>
      </w:pPr>
      <w:r w:rsidRPr="002107FE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fr-FR"/>
          <w14:ligatures w14:val="none"/>
        </w:rPr>
        <w:t>L’incapacité à apporter des preuves tangibles des difficultés économiques ou de l’urgence à sauvegarder la compétitivité de l’entreprise.</w:t>
      </w:r>
    </w:p>
    <w:p w14:paraId="57B72FB0" w14:textId="77777777" w:rsidR="002107FE" w:rsidRPr="002107FE" w:rsidRDefault="002107FE" w:rsidP="002107FE">
      <w:pPr>
        <w:numPr>
          <w:ilvl w:val="0"/>
          <w:numId w:val="2"/>
        </w:numPr>
        <w:shd w:val="clear" w:color="auto" w:fill="FFFFFF"/>
        <w:spacing w:before="100" w:beforeAutospacing="1" w:after="4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fr-FR"/>
          <w14:ligatures w14:val="none"/>
        </w:rPr>
      </w:pPr>
      <w:r w:rsidRPr="002107FE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fr-FR"/>
          <w14:ligatures w14:val="none"/>
        </w:rPr>
        <w:lastRenderedPageBreak/>
        <w:t>Licenciement pour des difficultés passagères (simple ralentissement des ventes).</w:t>
      </w:r>
    </w:p>
    <w:p w14:paraId="29AD5A01" w14:textId="77777777" w:rsidR="002107FE" w:rsidRPr="002107FE" w:rsidRDefault="002107FE" w:rsidP="002107FE">
      <w:pPr>
        <w:numPr>
          <w:ilvl w:val="0"/>
          <w:numId w:val="2"/>
        </w:numPr>
        <w:shd w:val="clear" w:color="auto" w:fill="FFFFFF"/>
        <w:spacing w:before="100" w:beforeAutospacing="1" w:after="4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fr-FR"/>
          <w14:ligatures w14:val="none"/>
        </w:rPr>
      </w:pPr>
      <w:r w:rsidRPr="002107FE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fr-FR"/>
          <w14:ligatures w14:val="none"/>
        </w:rPr>
        <w:t>Licenciement parce qu’un salarié coûte trop cher.</w:t>
      </w:r>
    </w:p>
    <w:p w14:paraId="7A629919" w14:textId="77777777" w:rsidR="002107FE" w:rsidRPr="002107FE" w:rsidRDefault="002107FE" w:rsidP="002107FE">
      <w:pPr>
        <w:numPr>
          <w:ilvl w:val="0"/>
          <w:numId w:val="2"/>
        </w:numPr>
        <w:shd w:val="clear" w:color="auto" w:fill="FFFFFF"/>
        <w:spacing w:before="100" w:beforeAutospacing="1" w:after="4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fr-FR"/>
          <w14:ligatures w14:val="none"/>
        </w:rPr>
      </w:pPr>
      <w:r w:rsidRPr="002107FE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fr-FR"/>
          <w14:ligatures w14:val="none"/>
        </w:rPr>
        <w:t>Licenciements boursiers (on privilégie le niveau de rentabilité de l’entreprise au détriment de l’emploi).</w:t>
      </w:r>
    </w:p>
    <w:p w14:paraId="339851E3" w14:textId="77777777" w:rsidR="002107FE" w:rsidRDefault="002107FE" w:rsidP="002107FE">
      <w:pPr>
        <w:numPr>
          <w:ilvl w:val="0"/>
          <w:numId w:val="2"/>
        </w:numPr>
        <w:shd w:val="clear" w:color="auto" w:fill="FFFFFF"/>
        <w:spacing w:before="100" w:beforeAutospacing="1" w:after="4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fr-FR"/>
          <w14:ligatures w14:val="none"/>
        </w:rPr>
      </w:pPr>
      <w:r w:rsidRPr="002107FE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fr-FR"/>
          <w14:ligatures w14:val="none"/>
        </w:rPr>
        <w:t>La suppression des postes doublon à la suite d’une fusion sans apporter la preuve de difficultés économiques.</w:t>
      </w:r>
    </w:p>
    <w:p w14:paraId="49A571E3" w14:textId="39683E59" w:rsidR="008634A7" w:rsidRDefault="008634A7" w:rsidP="008634A7">
      <w:pPr>
        <w:shd w:val="clear" w:color="auto" w:fill="FFFFFF"/>
        <w:spacing w:before="100" w:beforeAutospacing="1" w:after="4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fr-FR"/>
          <w14:ligatures w14:val="none"/>
        </w:rPr>
      </w:pPr>
      <w:r>
        <w:rPr>
          <w:rFonts w:ascii="Open Sans" w:eastAsia="Times New Roman" w:hAnsi="Open Sans" w:cs="Open Sans"/>
          <w:noProof/>
          <w:color w:val="333333"/>
          <w:kern w:val="0"/>
          <w:sz w:val="24"/>
          <w:szCs w:val="24"/>
          <w:lang w:eastAsia="fr-FR"/>
        </w:rPr>
        <w:lastRenderedPageBreak/>
        <w:drawing>
          <wp:inline distT="0" distB="0" distL="0" distR="0" wp14:anchorId="6F2CBDF6" wp14:editId="7DA97F49">
            <wp:extent cx="5760720" cy="7411085"/>
            <wp:effectExtent l="0" t="0" r="0" b="0"/>
            <wp:docPr id="156161809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618090" name="Image 156161809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41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94BA7E" w14:textId="77777777" w:rsidR="008634A7" w:rsidRDefault="008634A7" w:rsidP="008634A7">
      <w:pPr>
        <w:shd w:val="clear" w:color="auto" w:fill="FFFFFF"/>
        <w:spacing w:before="100" w:beforeAutospacing="1" w:after="4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fr-FR"/>
          <w14:ligatures w14:val="none"/>
        </w:rPr>
      </w:pPr>
    </w:p>
    <w:p w14:paraId="6443E2B8" w14:textId="6EC0A21B" w:rsidR="008634A7" w:rsidRPr="002107FE" w:rsidRDefault="008634A7" w:rsidP="008634A7">
      <w:pPr>
        <w:shd w:val="clear" w:color="auto" w:fill="FFFFFF"/>
        <w:spacing w:before="100" w:beforeAutospacing="1" w:after="4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fr-FR"/>
          <w14:ligatures w14:val="none"/>
        </w:rPr>
      </w:pPr>
      <w:r>
        <w:rPr>
          <w:rFonts w:ascii="Open Sans" w:eastAsia="Times New Roman" w:hAnsi="Open Sans" w:cs="Open Sans"/>
          <w:noProof/>
          <w:color w:val="333333"/>
          <w:kern w:val="0"/>
          <w:sz w:val="24"/>
          <w:szCs w:val="24"/>
          <w:lang w:eastAsia="fr-FR"/>
        </w:rPr>
        <w:lastRenderedPageBreak/>
        <w:drawing>
          <wp:inline distT="0" distB="0" distL="0" distR="0" wp14:anchorId="6F17E5B5" wp14:editId="46E81A9C">
            <wp:extent cx="5760720" cy="5204460"/>
            <wp:effectExtent l="0" t="0" r="0" b="0"/>
            <wp:docPr id="81774102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741027" name="Image 81774102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EE192" w14:textId="77777777" w:rsidR="002107FE" w:rsidRDefault="002107FE">
      <w:pPr>
        <w:rPr>
          <w:rFonts w:ascii="Arial" w:hAnsi="Arial" w:cs="Arial"/>
          <w:color w:val="212529"/>
          <w:sz w:val="26"/>
          <w:szCs w:val="26"/>
          <w:shd w:val="clear" w:color="auto" w:fill="FFFFFF"/>
        </w:rPr>
      </w:pPr>
    </w:p>
    <w:sectPr w:rsidR="002107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D138BF"/>
    <w:multiLevelType w:val="multilevel"/>
    <w:tmpl w:val="7B2A6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C94CB2"/>
    <w:multiLevelType w:val="multilevel"/>
    <w:tmpl w:val="3F74B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0768400">
    <w:abstractNumId w:val="0"/>
  </w:num>
  <w:num w:numId="2" w16cid:durableId="2077312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AA3"/>
    <w:rsid w:val="000B3FAD"/>
    <w:rsid w:val="002107FE"/>
    <w:rsid w:val="00684E64"/>
    <w:rsid w:val="008634A7"/>
    <w:rsid w:val="00EB4053"/>
    <w:rsid w:val="00FE0AE4"/>
    <w:rsid w:val="00FF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2FA8D"/>
  <w15:chartTrackingRefBased/>
  <w15:docId w15:val="{E049670C-0B48-4B08-8D5A-B2AD0BAE4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FE0AE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E0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8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mp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354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Delpy</dc:creator>
  <cp:keywords/>
  <dc:description/>
  <cp:lastModifiedBy>Patrice Delpy</cp:lastModifiedBy>
  <cp:revision>1</cp:revision>
  <dcterms:created xsi:type="dcterms:W3CDTF">2024-07-03T18:16:00Z</dcterms:created>
  <dcterms:modified xsi:type="dcterms:W3CDTF">2024-07-04T18:43:00Z</dcterms:modified>
</cp:coreProperties>
</file>