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482" w:rsidRPr="002A0482" w:rsidRDefault="002A0482">
      <w:pPr>
        <w:rPr>
          <w:rFonts w:cstheme="minorHAnsi"/>
          <w:sz w:val="32"/>
          <w:szCs w:val="32"/>
        </w:rPr>
      </w:pPr>
      <w:r w:rsidRPr="002A0482">
        <w:rPr>
          <w:sz w:val="32"/>
          <w:szCs w:val="32"/>
        </w:rPr>
        <w:t>Numéro : 1A05084796993</w:t>
      </w:r>
    </w:p>
    <w:p w:rsidR="002A0482" w:rsidRDefault="002A0482">
      <w:pPr>
        <w:rPr>
          <w:rFonts w:cstheme="minorHAnsi"/>
          <w:sz w:val="20"/>
          <w:szCs w:val="20"/>
        </w:rPr>
      </w:pPr>
    </w:p>
    <w:p w:rsidR="00315049" w:rsidRPr="00FC5FF9" w:rsidRDefault="00315049">
      <w:pPr>
        <w:rPr>
          <w:rFonts w:cstheme="minorHAnsi"/>
          <w:sz w:val="20"/>
          <w:szCs w:val="20"/>
        </w:rPr>
      </w:pPr>
      <w:r w:rsidRPr="00FC5FF9">
        <w:rPr>
          <w:rFonts w:cstheme="minorHAnsi"/>
          <w:sz w:val="20"/>
          <w:szCs w:val="20"/>
        </w:rPr>
        <w:t>Catégories socioprofessionnelles</w:t>
      </w:r>
    </w:p>
    <w:p w:rsidR="0083535D" w:rsidRPr="00FC5FF9" w:rsidRDefault="0083535D" w:rsidP="0083535D">
      <w:pPr>
        <w:autoSpaceDE w:val="0"/>
        <w:autoSpaceDN w:val="0"/>
        <w:adjustRightInd w:val="0"/>
        <w:spacing w:after="0" w:line="240" w:lineRule="auto"/>
        <w:rPr>
          <w:rFonts w:cstheme="minorHAnsi"/>
          <w:sz w:val="20"/>
          <w:szCs w:val="20"/>
        </w:rPr>
      </w:pPr>
      <w:r w:rsidRPr="00FC5FF9">
        <w:rPr>
          <w:rFonts w:cstheme="minorHAnsi"/>
          <w:sz w:val="20"/>
          <w:szCs w:val="20"/>
        </w:rPr>
        <w:t>Selon les juges, une fois établis, les critères doivent être appréciés de manière globale par catégorie</w:t>
      </w:r>
    </w:p>
    <w:p w:rsidR="0083535D" w:rsidRPr="00FC5FF9" w:rsidRDefault="0083535D" w:rsidP="0083535D">
      <w:pPr>
        <w:autoSpaceDE w:val="0"/>
        <w:autoSpaceDN w:val="0"/>
        <w:adjustRightInd w:val="0"/>
        <w:spacing w:after="0" w:line="240" w:lineRule="auto"/>
        <w:rPr>
          <w:rFonts w:cstheme="minorHAnsi"/>
          <w:sz w:val="20"/>
          <w:szCs w:val="20"/>
        </w:rPr>
      </w:pPr>
      <w:r w:rsidRPr="00FC5FF9">
        <w:rPr>
          <w:rFonts w:cstheme="minorHAnsi"/>
          <w:sz w:val="20"/>
          <w:szCs w:val="20"/>
        </w:rPr>
        <w:t>professionnelle (</w:t>
      </w:r>
      <w:proofErr w:type="spellStart"/>
      <w:r w:rsidRPr="00FC5FF9">
        <w:rPr>
          <w:rFonts w:cstheme="minorHAnsi"/>
          <w:sz w:val="20"/>
          <w:szCs w:val="20"/>
        </w:rPr>
        <w:t>Cass</w:t>
      </w:r>
      <w:proofErr w:type="spellEnd"/>
      <w:r w:rsidRPr="00FC5FF9">
        <w:rPr>
          <w:rFonts w:cstheme="minorHAnsi"/>
          <w:sz w:val="20"/>
          <w:szCs w:val="20"/>
        </w:rPr>
        <w:t xml:space="preserve">. </w:t>
      </w:r>
      <w:proofErr w:type="gramStart"/>
      <w:r w:rsidRPr="00FC5FF9">
        <w:rPr>
          <w:rFonts w:cstheme="minorHAnsi"/>
          <w:sz w:val="20"/>
          <w:szCs w:val="20"/>
        </w:rPr>
        <w:t>soc.,</w:t>
      </w:r>
      <w:proofErr w:type="gramEnd"/>
      <w:r w:rsidRPr="00FC5FF9">
        <w:rPr>
          <w:rFonts w:cstheme="minorHAnsi"/>
          <w:sz w:val="20"/>
          <w:szCs w:val="20"/>
        </w:rPr>
        <w:t xml:space="preserve"> 16 mars 2005). La catégorie professionnelle se définissant comme « l’ensemble</w:t>
      </w:r>
    </w:p>
    <w:p w:rsidR="0083535D" w:rsidRPr="00FC5FF9" w:rsidRDefault="0083535D" w:rsidP="0083535D">
      <w:pPr>
        <w:autoSpaceDE w:val="0"/>
        <w:autoSpaceDN w:val="0"/>
        <w:adjustRightInd w:val="0"/>
        <w:spacing w:after="0" w:line="240" w:lineRule="auto"/>
        <w:rPr>
          <w:rFonts w:cstheme="minorHAnsi"/>
          <w:sz w:val="20"/>
          <w:szCs w:val="20"/>
        </w:rPr>
      </w:pPr>
      <w:proofErr w:type="gramStart"/>
      <w:r w:rsidRPr="00FC5FF9">
        <w:rPr>
          <w:rFonts w:cstheme="minorHAnsi"/>
          <w:sz w:val="20"/>
          <w:szCs w:val="20"/>
        </w:rPr>
        <w:t>des</w:t>
      </w:r>
      <w:proofErr w:type="gramEnd"/>
      <w:r w:rsidRPr="00FC5FF9">
        <w:rPr>
          <w:rFonts w:cstheme="minorHAnsi"/>
          <w:sz w:val="20"/>
          <w:szCs w:val="20"/>
        </w:rPr>
        <w:t xml:space="preserve"> salariés qui exercent dans l’entreprise des fonctions de même nature supposant une formation</w:t>
      </w:r>
    </w:p>
    <w:p w:rsidR="0083535D" w:rsidRPr="00FC5FF9" w:rsidRDefault="0083535D" w:rsidP="0083535D">
      <w:pPr>
        <w:autoSpaceDE w:val="0"/>
        <w:autoSpaceDN w:val="0"/>
        <w:adjustRightInd w:val="0"/>
        <w:spacing w:after="0" w:line="240" w:lineRule="auto"/>
        <w:rPr>
          <w:rFonts w:cstheme="minorHAnsi"/>
          <w:sz w:val="20"/>
          <w:szCs w:val="20"/>
        </w:rPr>
      </w:pPr>
      <w:r w:rsidRPr="00FC5FF9">
        <w:rPr>
          <w:rFonts w:cstheme="minorHAnsi"/>
          <w:sz w:val="20"/>
          <w:szCs w:val="20"/>
        </w:rPr>
        <w:t>professionnelle commune » (</w:t>
      </w:r>
      <w:proofErr w:type="spellStart"/>
      <w:r w:rsidRPr="00FC5FF9">
        <w:rPr>
          <w:rFonts w:cstheme="minorHAnsi"/>
          <w:sz w:val="20"/>
          <w:szCs w:val="20"/>
        </w:rPr>
        <w:t>Cass</w:t>
      </w:r>
      <w:proofErr w:type="spellEnd"/>
      <w:r w:rsidRPr="00FC5FF9">
        <w:rPr>
          <w:rFonts w:cstheme="minorHAnsi"/>
          <w:sz w:val="20"/>
          <w:szCs w:val="20"/>
        </w:rPr>
        <w:t xml:space="preserve">. </w:t>
      </w:r>
      <w:proofErr w:type="gramStart"/>
      <w:r w:rsidRPr="00FC5FF9">
        <w:rPr>
          <w:rFonts w:cstheme="minorHAnsi"/>
          <w:sz w:val="20"/>
          <w:szCs w:val="20"/>
        </w:rPr>
        <w:t>soc.,</w:t>
      </w:r>
      <w:proofErr w:type="gramEnd"/>
      <w:r w:rsidRPr="00FC5FF9">
        <w:rPr>
          <w:rFonts w:cstheme="minorHAnsi"/>
          <w:sz w:val="20"/>
          <w:szCs w:val="20"/>
        </w:rPr>
        <w:t xml:space="preserve"> 13 février 1997, Samaritaine).</w:t>
      </w:r>
    </w:p>
    <w:p w:rsidR="0083535D" w:rsidRPr="00FC5FF9" w:rsidRDefault="0083535D" w:rsidP="0083535D">
      <w:pPr>
        <w:autoSpaceDE w:val="0"/>
        <w:autoSpaceDN w:val="0"/>
        <w:adjustRightInd w:val="0"/>
        <w:spacing w:after="0" w:line="240" w:lineRule="auto"/>
        <w:rPr>
          <w:rFonts w:cstheme="minorHAnsi"/>
          <w:sz w:val="20"/>
          <w:szCs w:val="20"/>
        </w:rPr>
      </w:pPr>
      <w:r w:rsidRPr="00FC5FF9">
        <w:rPr>
          <w:rFonts w:cstheme="minorHAnsi"/>
          <w:sz w:val="20"/>
          <w:szCs w:val="20"/>
        </w:rPr>
        <w:t>Selon l’article L.1233-5 du Code du travail, ce sont les entreprises et les établissements qui servent de</w:t>
      </w:r>
    </w:p>
    <w:p w:rsidR="0083535D" w:rsidRPr="00FC5FF9" w:rsidRDefault="0083535D" w:rsidP="0083535D">
      <w:pPr>
        <w:autoSpaceDE w:val="0"/>
        <w:autoSpaceDN w:val="0"/>
        <w:adjustRightInd w:val="0"/>
        <w:spacing w:after="0" w:line="240" w:lineRule="auto"/>
        <w:rPr>
          <w:rFonts w:cstheme="minorHAnsi"/>
          <w:sz w:val="20"/>
          <w:szCs w:val="20"/>
        </w:rPr>
      </w:pPr>
      <w:proofErr w:type="gramStart"/>
      <w:r w:rsidRPr="00FC5FF9">
        <w:rPr>
          <w:rFonts w:cstheme="minorHAnsi"/>
          <w:sz w:val="20"/>
          <w:szCs w:val="20"/>
        </w:rPr>
        <w:t>cadre</w:t>
      </w:r>
      <w:proofErr w:type="gramEnd"/>
      <w:r w:rsidRPr="00FC5FF9">
        <w:rPr>
          <w:rFonts w:cstheme="minorHAnsi"/>
          <w:sz w:val="20"/>
          <w:szCs w:val="20"/>
        </w:rPr>
        <w:t xml:space="preserve"> à la détermination des critères. Il semble logique que l’entreprise constitue le cadre d’appréciation</w:t>
      </w:r>
    </w:p>
    <w:p w:rsidR="0083535D" w:rsidRPr="00FC5FF9" w:rsidRDefault="0083535D" w:rsidP="0083535D">
      <w:pPr>
        <w:autoSpaceDE w:val="0"/>
        <w:autoSpaceDN w:val="0"/>
        <w:adjustRightInd w:val="0"/>
        <w:spacing w:after="0" w:line="240" w:lineRule="auto"/>
        <w:rPr>
          <w:rFonts w:cstheme="minorHAnsi"/>
          <w:sz w:val="20"/>
          <w:szCs w:val="20"/>
        </w:rPr>
      </w:pPr>
      <w:proofErr w:type="gramStart"/>
      <w:r w:rsidRPr="00FC5FF9">
        <w:rPr>
          <w:rFonts w:cstheme="minorHAnsi"/>
          <w:sz w:val="20"/>
          <w:szCs w:val="20"/>
        </w:rPr>
        <w:t>privilégié</w:t>
      </w:r>
      <w:proofErr w:type="gramEnd"/>
      <w:r w:rsidRPr="00FC5FF9">
        <w:rPr>
          <w:rFonts w:cstheme="minorHAnsi"/>
          <w:sz w:val="20"/>
          <w:szCs w:val="20"/>
        </w:rPr>
        <w:t>, ce qui a pour conséquence que les salariés dont les emplois sont supprimés ne sont pas</w:t>
      </w:r>
    </w:p>
    <w:p w:rsidR="0083535D" w:rsidRPr="00FC5FF9" w:rsidRDefault="0083535D" w:rsidP="0083535D">
      <w:pPr>
        <w:rPr>
          <w:rFonts w:cstheme="minorHAnsi"/>
          <w:sz w:val="20"/>
          <w:szCs w:val="20"/>
        </w:rPr>
      </w:pPr>
      <w:proofErr w:type="gramStart"/>
      <w:r w:rsidRPr="00FC5FF9">
        <w:rPr>
          <w:rFonts w:cstheme="minorHAnsi"/>
          <w:sz w:val="20"/>
          <w:szCs w:val="20"/>
        </w:rPr>
        <w:t>nécessairement</w:t>
      </w:r>
      <w:proofErr w:type="gramEnd"/>
      <w:r w:rsidRPr="00FC5FF9">
        <w:rPr>
          <w:rFonts w:cstheme="minorHAnsi"/>
          <w:sz w:val="20"/>
          <w:szCs w:val="20"/>
        </w:rPr>
        <w:t xml:space="preserve"> ceux que l’application des critères désigne pour être licenciés.</w:t>
      </w:r>
    </w:p>
    <w:p w:rsidR="0083535D" w:rsidRPr="00FC5FF9" w:rsidRDefault="0083535D" w:rsidP="0083535D">
      <w:pPr>
        <w:spacing w:before="100" w:beforeAutospacing="1" w:after="100" w:afterAutospacing="1" w:line="240" w:lineRule="auto"/>
        <w:rPr>
          <w:rFonts w:eastAsia="Times New Roman" w:cstheme="minorHAnsi"/>
          <w:sz w:val="20"/>
          <w:szCs w:val="20"/>
          <w:lang w:eastAsia="fr-FR"/>
        </w:rPr>
      </w:pPr>
      <w:r w:rsidRPr="00FC5FF9">
        <w:rPr>
          <w:rFonts w:eastAsia="Times New Roman" w:cstheme="minorHAnsi"/>
          <w:sz w:val="20"/>
          <w:szCs w:val="20"/>
          <w:lang w:eastAsia="fr-FR"/>
        </w:rPr>
        <w:t>Les critères doivent ensuite être appréciés pour l'ensemble des salariés qui exercent des fonctions de même nature, supposant une formation professionnelle commune avec le ou les salariés dont le poste est supprimé.</w:t>
      </w:r>
    </w:p>
    <w:p w:rsidR="0083535D" w:rsidRPr="00FC5FF9" w:rsidRDefault="0083535D" w:rsidP="0083535D">
      <w:pPr>
        <w:spacing w:before="100" w:beforeAutospacing="1" w:after="100" w:afterAutospacing="1" w:line="240" w:lineRule="auto"/>
        <w:rPr>
          <w:rFonts w:eastAsia="Times New Roman" w:cstheme="minorHAnsi"/>
          <w:sz w:val="20"/>
          <w:szCs w:val="20"/>
          <w:lang w:eastAsia="fr-FR"/>
        </w:rPr>
      </w:pPr>
      <w:r w:rsidRPr="00FC5FF9">
        <w:rPr>
          <w:rFonts w:eastAsia="Times New Roman" w:cstheme="minorHAnsi"/>
          <w:sz w:val="20"/>
          <w:szCs w:val="20"/>
          <w:lang w:eastAsia="fr-FR"/>
        </w:rPr>
        <w:t>Vous ne pouvez pas fractionner les catégories professionnelles en différentes équipes ou en sous-catégories. Ainsi, les salariés dont le poste est supprimé ne sont pas nécessairement ceux qui seront les premiers sur la liste des licenciés : vous pouvez être amené à conserver un salarié dont le poste est supprimé et à en licencier un autre dont le poste est maintenu (il aura été désigné prioritaire selon les critères de licenciement).</w:t>
      </w:r>
    </w:p>
    <w:p w:rsidR="0083535D" w:rsidRPr="00FC5FF9" w:rsidRDefault="0083535D" w:rsidP="0083535D">
      <w:pPr>
        <w:jc w:val="both"/>
        <w:rPr>
          <w:rFonts w:cstheme="minorHAnsi"/>
          <w:i/>
          <w:sz w:val="20"/>
          <w:szCs w:val="20"/>
        </w:rPr>
      </w:pPr>
      <w:r w:rsidRPr="00FC5FF9">
        <w:rPr>
          <w:rFonts w:cstheme="minorHAnsi"/>
          <w:i/>
          <w:sz w:val="20"/>
          <w:szCs w:val="20"/>
        </w:rPr>
        <w:t>Electricité, électronique</w:t>
      </w:r>
    </w:p>
    <w:p w:rsidR="0083535D" w:rsidRPr="00FC5FF9" w:rsidRDefault="0083535D" w:rsidP="0083535D">
      <w:pPr>
        <w:jc w:val="both"/>
        <w:rPr>
          <w:rFonts w:cstheme="minorHAnsi"/>
          <w:sz w:val="20"/>
          <w:szCs w:val="20"/>
        </w:rPr>
      </w:pPr>
      <w:r w:rsidRPr="00FC5FF9">
        <w:rPr>
          <w:rFonts w:cstheme="minorHAnsi"/>
          <w:sz w:val="20"/>
          <w:szCs w:val="20"/>
        </w:rPr>
        <w:t>383a Ingénieurs et cadres d'étude, recherche et développement en électricité, électronique</w:t>
      </w:r>
    </w:p>
    <w:p w:rsidR="00D62B7D" w:rsidRPr="00FC5FF9" w:rsidRDefault="00D62B7D" w:rsidP="00D62B7D">
      <w:pPr>
        <w:jc w:val="both"/>
        <w:rPr>
          <w:rFonts w:cstheme="minorHAnsi"/>
          <w:i/>
          <w:sz w:val="20"/>
          <w:szCs w:val="20"/>
        </w:rPr>
      </w:pPr>
      <w:r w:rsidRPr="00FC5FF9">
        <w:rPr>
          <w:rFonts w:cstheme="minorHAnsi"/>
          <w:i/>
          <w:sz w:val="20"/>
          <w:szCs w:val="20"/>
        </w:rPr>
        <w:t>Electricité, électronique</w:t>
      </w:r>
    </w:p>
    <w:p w:rsidR="00D62B7D" w:rsidRPr="00FC5FF9" w:rsidRDefault="00D62B7D" w:rsidP="00D62B7D">
      <w:pPr>
        <w:jc w:val="both"/>
        <w:rPr>
          <w:rFonts w:cstheme="minorHAnsi"/>
          <w:sz w:val="20"/>
          <w:szCs w:val="20"/>
        </w:rPr>
      </w:pPr>
      <w:r w:rsidRPr="00FC5FF9">
        <w:rPr>
          <w:rFonts w:cstheme="minorHAnsi"/>
          <w:sz w:val="20"/>
          <w:szCs w:val="20"/>
        </w:rPr>
        <w:t>383a Ingénieurs et cadres d'étude, recherche et développement en électricité, électronique</w:t>
      </w:r>
    </w:p>
    <w:p w:rsidR="00AF217B" w:rsidRPr="00FC5FF9" w:rsidRDefault="003539A7">
      <w:pPr>
        <w:rPr>
          <w:rFonts w:cstheme="minorHAnsi"/>
          <w:sz w:val="20"/>
          <w:szCs w:val="20"/>
        </w:rPr>
      </w:pPr>
      <w:hyperlink r:id="rId5" w:history="1">
        <w:r w:rsidR="00D62B7D" w:rsidRPr="00FC5FF9">
          <w:rPr>
            <w:rStyle w:val="Lienhypertexte"/>
            <w:rFonts w:cstheme="minorHAnsi"/>
            <w:sz w:val="20"/>
            <w:szCs w:val="20"/>
          </w:rPr>
          <w:t>http://www.insee.fr/fr/methodes/default.asp?page=nomenclatures/pcs2003/n3_38.htm</w:t>
        </w:r>
      </w:hyperlink>
    </w:p>
    <w:p w:rsidR="00DF2F9C" w:rsidRPr="00FC5FF9" w:rsidRDefault="003539A7">
      <w:pPr>
        <w:rPr>
          <w:rFonts w:cstheme="minorHAnsi"/>
          <w:sz w:val="20"/>
          <w:szCs w:val="20"/>
        </w:rPr>
      </w:pPr>
      <w:hyperlink r:id="rId6" w:history="1">
        <w:r w:rsidR="00DF2F9C" w:rsidRPr="00FC5FF9">
          <w:rPr>
            <w:rStyle w:val="Lienhypertexte"/>
            <w:rFonts w:cstheme="minorHAnsi"/>
            <w:sz w:val="20"/>
            <w:szCs w:val="20"/>
          </w:rPr>
          <w:t>http://www.insee.fr/fr/methodes/nomenclatures/pcsese/pcsese2003/doc/Brochure_PCS_ESE_2003.pdf</w:t>
        </w:r>
      </w:hyperlink>
      <w:r w:rsidR="00DF2F9C" w:rsidRPr="00FC5FF9">
        <w:rPr>
          <w:rFonts w:cstheme="minorHAnsi"/>
          <w:sz w:val="20"/>
          <w:szCs w:val="20"/>
        </w:rPr>
        <w:t xml:space="preserve">     </w:t>
      </w:r>
    </w:p>
    <w:p w:rsidR="00DF2F9C" w:rsidRPr="00FC5FF9" w:rsidRDefault="00DF2F9C">
      <w:pPr>
        <w:rPr>
          <w:rFonts w:cstheme="minorHAnsi"/>
          <w:sz w:val="20"/>
          <w:szCs w:val="20"/>
        </w:rPr>
      </w:pPr>
      <w:proofErr w:type="gramStart"/>
      <w:r w:rsidRPr="00FC5FF9">
        <w:rPr>
          <w:rFonts w:cstheme="minorHAnsi"/>
          <w:sz w:val="20"/>
          <w:szCs w:val="20"/>
        </w:rPr>
        <w:t>page</w:t>
      </w:r>
      <w:proofErr w:type="gramEnd"/>
      <w:r w:rsidR="00397E11" w:rsidRPr="00FC5FF9">
        <w:rPr>
          <w:rFonts w:cstheme="minorHAnsi"/>
          <w:sz w:val="20"/>
          <w:szCs w:val="20"/>
        </w:rPr>
        <w:t xml:space="preserve"> 76</w:t>
      </w:r>
    </w:p>
    <w:p w:rsidR="00D62B7D" w:rsidRPr="00FC5FF9" w:rsidRDefault="00D62B7D">
      <w:pPr>
        <w:rPr>
          <w:rFonts w:cstheme="minorHAnsi"/>
          <w:sz w:val="20"/>
          <w:szCs w:val="20"/>
        </w:rPr>
      </w:pPr>
      <w:r w:rsidRPr="00FC5FF9">
        <w:rPr>
          <w:rFonts w:cstheme="minorHAnsi"/>
          <w:sz w:val="20"/>
          <w:szCs w:val="20"/>
        </w:rPr>
        <w:t>La catégorie des cadres, outre les titulaires d'emploi impliquant une fonction de commandement, regroupe celle des ingénieurs, qui désigne généralement des salariés qui ont reçu une formation scientifique et technique initiale et/ou continue spécialisée, les rendant aptes à appliquer, diriger, coordonner, et à améliorer par leurs conseils et leurs recherches, certains travaux et procédés faisant appel à une haute technicité.</w:t>
      </w:r>
    </w:p>
    <w:p w:rsidR="00D8489F" w:rsidRPr="00FC5FF9" w:rsidRDefault="003539A7">
      <w:pPr>
        <w:rPr>
          <w:rFonts w:cstheme="minorHAnsi"/>
          <w:sz w:val="20"/>
          <w:szCs w:val="20"/>
        </w:rPr>
      </w:pPr>
      <w:hyperlink r:id="rId7" w:history="1">
        <w:r w:rsidR="00BB27BD" w:rsidRPr="00FC5FF9">
          <w:rPr>
            <w:rStyle w:val="Lienhypertexte"/>
            <w:rFonts w:cstheme="minorHAnsi"/>
            <w:sz w:val="20"/>
            <w:szCs w:val="20"/>
          </w:rPr>
          <w:t>http://www.wk-rh.fr/actualites/detail/14237/les-differences-entre-les-categories-professionnelles-sont-remises-en-question.html</w:t>
        </w:r>
      </w:hyperlink>
    </w:p>
    <w:p w:rsidR="00BB27BD" w:rsidRPr="00FC5FF9" w:rsidRDefault="003539A7">
      <w:pPr>
        <w:rPr>
          <w:rFonts w:cstheme="minorHAnsi"/>
          <w:sz w:val="20"/>
          <w:szCs w:val="20"/>
        </w:rPr>
      </w:pPr>
      <w:hyperlink r:id="rId8" w:history="1">
        <w:r w:rsidR="00571667" w:rsidRPr="00FC5FF9">
          <w:rPr>
            <w:rStyle w:val="Lienhypertexte"/>
            <w:rFonts w:cstheme="minorHAnsi"/>
            <w:sz w:val="20"/>
            <w:szCs w:val="20"/>
          </w:rPr>
          <w:t>http://www.zonebourse.com/ON-SEMICONDUCTOR-CORP-10340/fondamentaux/</w:t>
        </w:r>
      </w:hyperlink>
    </w:p>
    <w:p w:rsidR="00571667" w:rsidRPr="00FC5FF9" w:rsidRDefault="003539A7">
      <w:pPr>
        <w:rPr>
          <w:rFonts w:cstheme="minorHAnsi"/>
          <w:sz w:val="20"/>
          <w:szCs w:val="20"/>
        </w:rPr>
      </w:pPr>
      <w:hyperlink r:id="rId9" w:history="1">
        <w:r w:rsidR="00D357E2" w:rsidRPr="00FC5FF9">
          <w:rPr>
            <w:rStyle w:val="Lienhypertexte"/>
            <w:rFonts w:cstheme="minorHAnsi"/>
            <w:sz w:val="20"/>
            <w:szCs w:val="20"/>
          </w:rPr>
          <w:t>http://www.zonebourse.com/ON-SEMICONDUCTOR-CORP-10340/consensus/</w:t>
        </w:r>
      </w:hyperlink>
    </w:p>
    <w:p w:rsidR="00D357E2" w:rsidRPr="00FC5FF9" w:rsidRDefault="003539A7">
      <w:pPr>
        <w:rPr>
          <w:rFonts w:cstheme="minorHAnsi"/>
          <w:sz w:val="20"/>
          <w:szCs w:val="20"/>
        </w:rPr>
      </w:pPr>
      <w:hyperlink r:id="rId10" w:history="1">
        <w:r w:rsidR="00D357E2" w:rsidRPr="00FC5FF9">
          <w:rPr>
            <w:rStyle w:val="Lienhypertexte"/>
            <w:rFonts w:cstheme="minorHAnsi"/>
            <w:sz w:val="20"/>
            <w:szCs w:val="20"/>
          </w:rPr>
          <w:t>http://www.zonebourse.com/ON-SEMICONDUCTOR-CORP-10340/societe/</w:t>
        </w:r>
      </w:hyperlink>
    </w:p>
    <w:p w:rsidR="00D357E2" w:rsidRPr="00FC5FF9" w:rsidRDefault="003539A7">
      <w:pPr>
        <w:rPr>
          <w:rFonts w:cstheme="minorHAnsi"/>
          <w:sz w:val="20"/>
          <w:szCs w:val="20"/>
        </w:rPr>
      </w:pPr>
      <w:hyperlink r:id="rId11" w:history="1">
        <w:r w:rsidR="007E2D4B" w:rsidRPr="00FC5FF9">
          <w:rPr>
            <w:rStyle w:val="Lienhypertexte"/>
            <w:rFonts w:cstheme="minorHAnsi"/>
            <w:sz w:val="20"/>
            <w:szCs w:val="20"/>
          </w:rPr>
          <w:t>http://www.boursier.com/actions/consensus/on-semiconductor-US6821891057,US.html</w:t>
        </w:r>
      </w:hyperlink>
    </w:p>
    <w:p w:rsidR="007E2D4B" w:rsidRPr="00FC5FF9" w:rsidRDefault="003539A7">
      <w:pPr>
        <w:rPr>
          <w:rStyle w:val="Lienhypertexte"/>
          <w:rFonts w:cstheme="minorHAnsi"/>
          <w:sz w:val="20"/>
          <w:szCs w:val="20"/>
        </w:rPr>
      </w:pPr>
      <w:hyperlink r:id="rId12" w:history="1">
        <w:r w:rsidR="009A4819" w:rsidRPr="00FC5FF9">
          <w:rPr>
            <w:rStyle w:val="Lienhypertexte"/>
            <w:rFonts w:cstheme="minorHAnsi"/>
            <w:sz w:val="20"/>
            <w:szCs w:val="20"/>
          </w:rPr>
          <w:t>http://fr.finance.yahoo.com/q/mh?s=ONNN</w:t>
        </w:r>
      </w:hyperlink>
    </w:p>
    <w:p w:rsidR="003A25E4" w:rsidRPr="00FC5FF9" w:rsidRDefault="003539A7">
      <w:pPr>
        <w:rPr>
          <w:rFonts w:cstheme="minorHAnsi"/>
          <w:sz w:val="20"/>
          <w:szCs w:val="20"/>
        </w:rPr>
      </w:pPr>
      <w:hyperlink r:id="rId13" w:history="1">
        <w:r w:rsidR="003A25E4" w:rsidRPr="00FC5FF9">
          <w:rPr>
            <w:rStyle w:val="Lienhypertexte"/>
            <w:rFonts w:cstheme="minorHAnsi"/>
            <w:sz w:val="20"/>
            <w:szCs w:val="20"/>
          </w:rPr>
          <w:t>http://www.dailyfinance.com/quote/nasdaq/on-semiconductor-corp/onnn/analyst-ratings</w:t>
        </w:r>
      </w:hyperlink>
    </w:p>
    <w:p w:rsidR="003A25E4" w:rsidRPr="00FC5FF9" w:rsidRDefault="003539A7">
      <w:pPr>
        <w:rPr>
          <w:rFonts w:cstheme="minorHAnsi"/>
          <w:sz w:val="20"/>
          <w:szCs w:val="20"/>
        </w:rPr>
      </w:pPr>
      <w:hyperlink r:id="rId14" w:history="1">
        <w:r w:rsidR="00A530A9" w:rsidRPr="00FC5FF9">
          <w:rPr>
            <w:rStyle w:val="Lienhypertexte"/>
            <w:rFonts w:cstheme="minorHAnsi"/>
            <w:sz w:val="20"/>
            <w:szCs w:val="20"/>
          </w:rPr>
          <w:t>http://data.cnbc.com/quotes/ONNN/tab/5.2</w:t>
        </w:r>
      </w:hyperlink>
    </w:p>
    <w:p w:rsidR="00A530A9" w:rsidRPr="00FC5FF9" w:rsidRDefault="00A530A9">
      <w:pPr>
        <w:rPr>
          <w:rFonts w:cstheme="minorHAnsi"/>
          <w:sz w:val="20"/>
          <w:szCs w:val="20"/>
        </w:rPr>
      </w:pPr>
    </w:p>
    <w:p w:rsidR="009A4819" w:rsidRPr="00FC5FF9" w:rsidRDefault="00976881">
      <w:pPr>
        <w:rPr>
          <w:rFonts w:cstheme="minorHAnsi"/>
          <w:sz w:val="20"/>
          <w:szCs w:val="20"/>
        </w:rPr>
      </w:pPr>
      <w:hyperlink r:id="rId15" w:history="1">
        <w:r w:rsidRPr="00FC5FF9">
          <w:rPr>
            <w:rStyle w:val="Lienhypertexte"/>
            <w:rFonts w:cstheme="minorHAnsi"/>
            <w:sz w:val="20"/>
            <w:szCs w:val="20"/>
          </w:rPr>
          <w:t>http://lentreprise.lexpress.fr/donner-demission/la-decision-de-licencier-ne-peut-pas-etre-enterinee-avant-l-entretien_21880.html</w:t>
        </w:r>
      </w:hyperlink>
    </w:p>
    <w:p w:rsidR="00B651E4" w:rsidRPr="00B651E4" w:rsidRDefault="00B651E4" w:rsidP="00B651E4">
      <w:pPr>
        <w:spacing w:before="100" w:beforeAutospacing="1" w:after="100" w:afterAutospacing="1" w:line="240" w:lineRule="auto"/>
        <w:outlineLvl w:val="0"/>
        <w:rPr>
          <w:rFonts w:eastAsia="Times New Roman" w:cstheme="minorHAnsi"/>
          <w:bCs/>
          <w:kern w:val="36"/>
          <w:sz w:val="20"/>
          <w:szCs w:val="20"/>
          <w:lang w:eastAsia="fr-FR"/>
        </w:rPr>
      </w:pPr>
      <w:r w:rsidRPr="00B651E4">
        <w:rPr>
          <w:rFonts w:eastAsia="Times New Roman" w:cstheme="minorHAnsi"/>
          <w:bCs/>
          <w:kern w:val="36"/>
          <w:sz w:val="20"/>
          <w:szCs w:val="20"/>
          <w:lang w:eastAsia="fr-FR"/>
        </w:rPr>
        <w:t>La décision de licencier ne peut pas être entérinée avant l'entretien</w:t>
      </w:r>
    </w:p>
    <w:p w:rsidR="00B651E4" w:rsidRPr="00B651E4" w:rsidRDefault="00B651E4" w:rsidP="00B651E4">
      <w:pPr>
        <w:spacing w:before="100" w:beforeAutospacing="1" w:after="100" w:afterAutospacing="1" w:line="240" w:lineRule="auto"/>
        <w:outlineLvl w:val="1"/>
        <w:rPr>
          <w:rFonts w:eastAsia="Times New Roman" w:cstheme="minorHAnsi"/>
          <w:bCs/>
          <w:sz w:val="20"/>
          <w:szCs w:val="20"/>
          <w:lang w:eastAsia="fr-FR"/>
        </w:rPr>
      </w:pPr>
      <w:r w:rsidRPr="00B651E4">
        <w:rPr>
          <w:rFonts w:eastAsia="Times New Roman" w:cstheme="minorHAnsi"/>
          <w:bCs/>
          <w:sz w:val="20"/>
          <w:szCs w:val="20"/>
          <w:lang w:eastAsia="fr-FR"/>
        </w:rPr>
        <w:t>Lorsque l'employeur envisage le licenciement d'un salarié, il ne doit pas, d'une manière ou d'une autre, rendre sa décision définitive avant que l'entretien préalable n'ait eu lieu et que le délai de réflexion de deux jours ne se soit écoulé.</w:t>
      </w:r>
    </w:p>
    <w:p w:rsidR="00B651E4" w:rsidRPr="00FC5FF9" w:rsidRDefault="00B651E4" w:rsidP="00B651E4">
      <w:pPr>
        <w:pStyle w:val="NormalWeb"/>
        <w:rPr>
          <w:rFonts w:asciiTheme="minorHAnsi" w:hAnsiTheme="minorHAnsi" w:cstheme="minorHAnsi"/>
          <w:sz w:val="20"/>
          <w:szCs w:val="20"/>
        </w:rPr>
      </w:pPr>
      <w:r w:rsidRPr="00FC5FF9">
        <w:rPr>
          <w:rFonts w:asciiTheme="minorHAnsi" w:hAnsiTheme="minorHAnsi" w:cstheme="minorHAnsi"/>
          <w:sz w:val="20"/>
          <w:szCs w:val="20"/>
        </w:rPr>
        <w:t xml:space="preserve">L'employeur ne doit pas vider l'entretien préalable de licenciement de sa substance. L'objet de cet entretien est de permettre au salarié de répondre aux faits qui lui sont reprochés. L'employeur doit tenir compte de ses arguments. Pour cette raison, le Code du travail exige de l'employeur qu'il s'accorde un délai de réflexion de deux jours après la tenue de l'entretien. </w:t>
      </w:r>
    </w:p>
    <w:p w:rsidR="00B651E4" w:rsidRPr="00FC5FF9" w:rsidRDefault="00B651E4" w:rsidP="00B651E4">
      <w:pPr>
        <w:pStyle w:val="NormalWeb"/>
        <w:rPr>
          <w:rFonts w:asciiTheme="minorHAnsi" w:hAnsiTheme="minorHAnsi" w:cstheme="minorHAnsi"/>
          <w:sz w:val="20"/>
          <w:szCs w:val="20"/>
        </w:rPr>
      </w:pPr>
      <w:r w:rsidRPr="00FC5FF9">
        <w:rPr>
          <w:rFonts w:asciiTheme="minorHAnsi" w:hAnsiTheme="minorHAnsi" w:cstheme="minorHAnsi"/>
          <w:sz w:val="20"/>
          <w:szCs w:val="20"/>
        </w:rPr>
        <w:t>Si le salarié peut prouver que la décision de le licencier a été prise avant la tenue de l'entretien, la procédure est irrégulière, décident deux cours d'appel.</w:t>
      </w:r>
    </w:p>
    <w:p w:rsidR="00FC5FF9" w:rsidRPr="00FC5FF9" w:rsidRDefault="00FC5FF9" w:rsidP="00FC5FF9">
      <w:pPr>
        <w:spacing w:before="100" w:beforeAutospacing="1" w:after="100" w:afterAutospacing="1" w:line="240" w:lineRule="auto"/>
        <w:outlineLvl w:val="2"/>
        <w:rPr>
          <w:rFonts w:eastAsia="Times New Roman" w:cstheme="minorHAnsi"/>
          <w:bCs/>
          <w:sz w:val="20"/>
          <w:szCs w:val="20"/>
          <w:lang w:eastAsia="fr-FR"/>
        </w:rPr>
      </w:pPr>
      <w:r w:rsidRPr="00FC5FF9">
        <w:rPr>
          <w:rFonts w:eastAsia="Times New Roman" w:cstheme="minorHAnsi"/>
          <w:bCs/>
          <w:sz w:val="20"/>
          <w:szCs w:val="20"/>
          <w:lang w:eastAsia="fr-FR"/>
        </w:rPr>
        <w:t>Autorisation de ne plus travailler</w:t>
      </w:r>
    </w:p>
    <w:p w:rsidR="00FC5FF9" w:rsidRPr="00FC5FF9" w:rsidRDefault="00FC5FF9" w:rsidP="00FC5FF9">
      <w:pPr>
        <w:spacing w:before="100" w:beforeAutospacing="1" w:after="100" w:afterAutospacing="1" w:line="240" w:lineRule="auto"/>
        <w:rPr>
          <w:rFonts w:eastAsia="Times New Roman" w:cstheme="minorHAnsi"/>
          <w:sz w:val="20"/>
          <w:szCs w:val="20"/>
          <w:lang w:eastAsia="fr-FR"/>
        </w:rPr>
      </w:pPr>
      <w:r w:rsidRPr="00FC5FF9">
        <w:rPr>
          <w:rFonts w:eastAsia="Times New Roman" w:cstheme="minorHAnsi"/>
          <w:sz w:val="20"/>
          <w:szCs w:val="20"/>
          <w:lang w:eastAsia="fr-FR"/>
        </w:rPr>
        <w:t xml:space="preserve">Dans la seconde affaire, un directeur commercial est convoqué à un entretien préalable de licenciement le 2 juin 2005 car il n'a pas réalisé ses objectifs commerciaux. </w:t>
      </w:r>
    </w:p>
    <w:p w:rsidR="00FC5FF9" w:rsidRPr="00FC5FF9" w:rsidRDefault="00FC5FF9" w:rsidP="00FC5FF9">
      <w:pPr>
        <w:spacing w:before="100" w:beforeAutospacing="1" w:after="100" w:afterAutospacing="1" w:line="240" w:lineRule="auto"/>
        <w:rPr>
          <w:rFonts w:eastAsia="Times New Roman" w:cstheme="minorHAnsi"/>
          <w:sz w:val="20"/>
          <w:szCs w:val="20"/>
          <w:lang w:eastAsia="fr-FR"/>
        </w:rPr>
      </w:pPr>
      <w:r w:rsidRPr="00FC5FF9">
        <w:rPr>
          <w:rFonts w:eastAsia="Times New Roman" w:cstheme="minorHAnsi"/>
          <w:sz w:val="20"/>
          <w:szCs w:val="20"/>
          <w:lang w:eastAsia="fr-FR"/>
        </w:rPr>
        <w:t xml:space="preserve">Le 6 juin, il est licencié. Le salarié estime que la procédure de licenciement est irrégulière. Outre le fait que l'employeur n'a pas respecté le délai de 5 jours qui doit s'écouler entre la convocation à l'entretien préalable et l'entretien lui-même, l'employeur avait décidé de licencier le salarié bien avant l'entretien. </w:t>
      </w:r>
    </w:p>
    <w:p w:rsidR="00FC5FF9" w:rsidRPr="00FC5FF9" w:rsidRDefault="00FC5FF9" w:rsidP="00FC5FF9">
      <w:pPr>
        <w:spacing w:before="100" w:beforeAutospacing="1" w:after="100" w:afterAutospacing="1" w:line="240" w:lineRule="auto"/>
        <w:rPr>
          <w:rFonts w:eastAsia="Times New Roman" w:cstheme="minorHAnsi"/>
          <w:sz w:val="20"/>
          <w:szCs w:val="20"/>
          <w:lang w:eastAsia="fr-FR"/>
        </w:rPr>
      </w:pPr>
      <w:r w:rsidRPr="00FC5FF9">
        <w:rPr>
          <w:rFonts w:eastAsia="Times New Roman" w:cstheme="minorHAnsi"/>
          <w:sz w:val="20"/>
          <w:szCs w:val="20"/>
          <w:lang w:eastAsia="fr-FR"/>
        </w:rPr>
        <w:t xml:space="preserve">En effet, dans un courrier du 2 juin 2005, jour de la convocation à l'entretien préalable, il avait autorisé le salarié à " ne plus être présent dans l'entreprise jusqu'à réception de la lettre notifiant la décision finale à son encontre ". </w:t>
      </w:r>
    </w:p>
    <w:p w:rsidR="00FC5FF9" w:rsidRDefault="00FC5FF9" w:rsidP="00FC5FF9">
      <w:pPr>
        <w:spacing w:before="100" w:beforeAutospacing="1" w:after="100" w:afterAutospacing="1" w:line="240" w:lineRule="auto"/>
        <w:rPr>
          <w:rFonts w:eastAsia="Times New Roman" w:cstheme="minorHAnsi"/>
          <w:sz w:val="20"/>
          <w:szCs w:val="20"/>
          <w:lang w:eastAsia="fr-FR"/>
        </w:rPr>
      </w:pPr>
      <w:r w:rsidRPr="00FC5FF9">
        <w:rPr>
          <w:rFonts w:eastAsia="Times New Roman" w:cstheme="minorHAnsi"/>
          <w:sz w:val="20"/>
          <w:szCs w:val="20"/>
          <w:lang w:eastAsia="fr-FR"/>
        </w:rPr>
        <w:t>Là encore, les juges suivent l'argumentation du salarié et déclarent la procédure irrégulière.</w:t>
      </w:r>
    </w:p>
    <w:p w:rsidR="003539A7" w:rsidRPr="00FC5FF9" w:rsidRDefault="003539A7" w:rsidP="00FC5FF9">
      <w:pPr>
        <w:spacing w:before="100" w:beforeAutospacing="1" w:after="100" w:afterAutospacing="1" w:line="240" w:lineRule="auto"/>
        <w:rPr>
          <w:rFonts w:eastAsia="Times New Roman" w:cstheme="minorHAnsi"/>
          <w:sz w:val="20"/>
          <w:szCs w:val="20"/>
          <w:lang w:eastAsia="fr-FR"/>
        </w:rPr>
      </w:pPr>
      <w:r>
        <w:rPr>
          <w:color w:val="000000"/>
        </w:rPr>
        <w:t>'ARRET: Qu'en statuant ainsi, alors que la décision de licenciement prise avant la tenue de l'entretien préalable constitue une irrégularité de procédure et n'a pas pour effet de priver le licenciement de cause réelle et sérieuse, de sorte qu'il lui incombait de se prononcer sur le motif de licenciement invoqué par l'employeur, la cour d'appel a violé les textes susvisés ;</w:t>
      </w:r>
      <w:r>
        <w:rPr>
          <w:color w:val="000000"/>
        </w:rPr>
        <w:br/>
        <w:t>PAR CES MOTIFS, et sans qu'il y ait lieu de statuer sur la première branche du moyen : CASSE ET ANNULE, dans toutes ses dispositions, l'arrêt rendu le 17 mai 2001, entre les parties, par la cour d'appel d'Orléans ;</w:t>
      </w:r>
      <w:bookmarkStart w:id="0" w:name="_GoBack"/>
      <w:bookmarkEnd w:id="0"/>
    </w:p>
    <w:p w:rsidR="00FC5FF9" w:rsidRDefault="00C20FAA" w:rsidP="00B651E4">
      <w:pPr>
        <w:pStyle w:val="NormalWeb"/>
        <w:rPr>
          <w:rFonts w:asciiTheme="minorHAnsi" w:hAnsiTheme="minorHAnsi" w:cstheme="minorHAnsi"/>
          <w:sz w:val="20"/>
          <w:szCs w:val="20"/>
        </w:rPr>
      </w:pPr>
      <w:r>
        <w:rPr>
          <w:rFonts w:asciiTheme="minorHAnsi" w:hAnsiTheme="minorHAnsi" w:cstheme="minorHAnsi"/>
          <w:sz w:val="20"/>
          <w:szCs w:val="20"/>
        </w:rPr>
        <w:t xml:space="preserve">////////////////////////////////////////////////// </w:t>
      </w:r>
    </w:p>
    <w:p w:rsidR="00AD3096" w:rsidRDefault="00AD3096" w:rsidP="00B651E4">
      <w:pPr>
        <w:pStyle w:val="NormalWeb"/>
        <w:rPr>
          <w:rFonts w:asciiTheme="minorHAnsi" w:hAnsiTheme="minorHAnsi" w:cstheme="minorHAnsi"/>
          <w:sz w:val="20"/>
          <w:szCs w:val="20"/>
        </w:rPr>
      </w:pPr>
      <w:r w:rsidRPr="00AD3096">
        <w:rPr>
          <w:rFonts w:asciiTheme="minorHAnsi" w:hAnsiTheme="minorHAnsi" w:cstheme="minorHAnsi"/>
          <w:sz w:val="20"/>
          <w:szCs w:val="20"/>
        </w:rPr>
        <w:t>http://www.travail-emploi-sante.gouv.fr/IMG/pdf/entretien_prealable_au_licenciement.pdf</w:t>
      </w:r>
    </w:p>
    <w:p w:rsidR="00C20FAA" w:rsidRDefault="00C20FAA" w:rsidP="00C20FAA">
      <w:pPr>
        <w:autoSpaceDE w:val="0"/>
        <w:autoSpaceDN w:val="0"/>
        <w:adjustRightInd w:val="0"/>
        <w:spacing w:after="0" w:line="240" w:lineRule="auto"/>
        <w:rPr>
          <w:rFonts w:ascii="Frutiger-Light" w:hAnsi="Frutiger-Light" w:cs="Frutiger-Light"/>
          <w:sz w:val="18"/>
          <w:szCs w:val="18"/>
        </w:rPr>
      </w:pPr>
      <w:r>
        <w:rPr>
          <w:rFonts w:ascii="Frutiger-Light" w:hAnsi="Frutiger-Light" w:cs="Frutiger-Light"/>
          <w:sz w:val="18"/>
          <w:szCs w:val="18"/>
        </w:rPr>
        <w:t>Compte tenu du délai minimum de réflexion imposé par la loi et en considération de la</w:t>
      </w:r>
    </w:p>
    <w:p w:rsidR="00C20FAA" w:rsidRDefault="00C20FAA" w:rsidP="00C20FAA">
      <w:pPr>
        <w:autoSpaceDE w:val="0"/>
        <w:autoSpaceDN w:val="0"/>
        <w:adjustRightInd w:val="0"/>
        <w:spacing w:after="0" w:line="240" w:lineRule="auto"/>
        <w:rPr>
          <w:rFonts w:ascii="Frutiger-Light" w:hAnsi="Frutiger-Light" w:cs="Frutiger-Light"/>
          <w:sz w:val="18"/>
          <w:szCs w:val="18"/>
        </w:rPr>
      </w:pPr>
      <w:proofErr w:type="gramStart"/>
      <w:r>
        <w:rPr>
          <w:rFonts w:ascii="Frutiger-Light" w:hAnsi="Frutiger-Light" w:cs="Frutiger-Light"/>
          <w:sz w:val="18"/>
          <w:szCs w:val="18"/>
        </w:rPr>
        <w:t>finalité</w:t>
      </w:r>
      <w:proofErr w:type="gramEnd"/>
      <w:r>
        <w:rPr>
          <w:rFonts w:ascii="Frutiger-Light" w:hAnsi="Frutiger-Light" w:cs="Frutiger-Light"/>
          <w:sz w:val="18"/>
          <w:szCs w:val="18"/>
        </w:rPr>
        <w:t xml:space="preserve"> de l’entretien préalable, l’employeur ne peut faire part au salarié, au terme de</w:t>
      </w:r>
    </w:p>
    <w:p w:rsidR="00C20FAA" w:rsidRDefault="00C20FAA" w:rsidP="00C20FAA">
      <w:pPr>
        <w:autoSpaceDE w:val="0"/>
        <w:autoSpaceDN w:val="0"/>
        <w:adjustRightInd w:val="0"/>
        <w:spacing w:after="0" w:line="240" w:lineRule="auto"/>
        <w:rPr>
          <w:rFonts w:ascii="Frutiger-Light" w:hAnsi="Frutiger-Light" w:cs="Frutiger-Light"/>
          <w:sz w:val="18"/>
          <w:szCs w:val="18"/>
        </w:rPr>
      </w:pPr>
      <w:proofErr w:type="gramStart"/>
      <w:r>
        <w:rPr>
          <w:rFonts w:ascii="Frutiger-Light" w:hAnsi="Frutiger-Light" w:cs="Frutiger-Light"/>
          <w:sz w:val="18"/>
          <w:szCs w:val="18"/>
        </w:rPr>
        <w:t>l’entretien</w:t>
      </w:r>
      <w:proofErr w:type="gramEnd"/>
      <w:r>
        <w:rPr>
          <w:rFonts w:ascii="Frutiger-Light" w:hAnsi="Frutiger-Light" w:cs="Frutiger-Light"/>
          <w:sz w:val="18"/>
          <w:szCs w:val="18"/>
        </w:rPr>
        <w:t>, de sa décision définitive de le licencier, sauf à vicier la procédure.</w:t>
      </w:r>
    </w:p>
    <w:p w:rsidR="00C20FAA" w:rsidRDefault="00C20FAA" w:rsidP="00C20FAA">
      <w:pPr>
        <w:autoSpaceDE w:val="0"/>
        <w:autoSpaceDN w:val="0"/>
        <w:adjustRightInd w:val="0"/>
        <w:spacing w:after="0" w:line="240" w:lineRule="auto"/>
        <w:rPr>
          <w:rFonts w:ascii="Frutiger-Light" w:hAnsi="Frutiger-Light" w:cs="Frutiger-Light"/>
          <w:sz w:val="18"/>
          <w:szCs w:val="18"/>
        </w:rPr>
      </w:pPr>
      <w:r>
        <w:rPr>
          <w:rFonts w:ascii="Frutiger-Light" w:hAnsi="Frutiger-Light" w:cs="Frutiger-Light"/>
          <w:sz w:val="18"/>
          <w:szCs w:val="18"/>
        </w:rPr>
        <w:t>- à noter que s’il apparaissait que le licenciement était déjà décidé avant la</w:t>
      </w:r>
    </w:p>
    <w:p w:rsidR="00C20FAA" w:rsidRDefault="00C20FAA" w:rsidP="00C20FAA">
      <w:pPr>
        <w:autoSpaceDE w:val="0"/>
        <w:autoSpaceDN w:val="0"/>
        <w:adjustRightInd w:val="0"/>
        <w:spacing w:after="0" w:line="240" w:lineRule="auto"/>
        <w:rPr>
          <w:rFonts w:ascii="Frutiger-Light" w:hAnsi="Frutiger-Light" w:cs="Frutiger-Light"/>
          <w:sz w:val="18"/>
          <w:szCs w:val="18"/>
        </w:rPr>
      </w:pPr>
      <w:proofErr w:type="gramStart"/>
      <w:r>
        <w:rPr>
          <w:rFonts w:ascii="Frutiger-Light" w:hAnsi="Frutiger-Light" w:cs="Frutiger-Light"/>
          <w:sz w:val="18"/>
          <w:szCs w:val="18"/>
        </w:rPr>
        <w:t>tenue</w:t>
      </w:r>
      <w:proofErr w:type="gramEnd"/>
      <w:r>
        <w:rPr>
          <w:rFonts w:ascii="Frutiger-Light" w:hAnsi="Frutiger-Light" w:cs="Frutiger-Light"/>
          <w:sz w:val="18"/>
          <w:szCs w:val="18"/>
        </w:rPr>
        <w:t xml:space="preserve"> de l’entretien, la procédure serait considérée comme étant irrégulière. Cette</w:t>
      </w:r>
    </w:p>
    <w:p w:rsidR="00C20FAA" w:rsidRDefault="00C20FAA" w:rsidP="00C20FAA">
      <w:pPr>
        <w:autoSpaceDE w:val="0"/>
        <w:autoSpaceDN w:val="0"/>
        <w:adjustRightInd w:val="0"/>
        <w:spacing w:after="0" w:line="240" w:lineRule="auto"/>
        <w:rPr>
          <w:rFonts w:ascii="Frutiger-Light" w:hAnsi="Frutiger-Light" w:cs="Frutiger-Light"/>
          <w:sz w:val="18"/>
          <w:szCs w:val="18"/>
        </w:rPr>
      </w:pPr>
      <w:proofErr w:type="gramStart"/>
      <w:r>
        <w:rPr>
          <w:rFonts w:ascii="Frutiger-Light" w:hAnsi="Frutiger-Light" w:cs="Frutiger-Light"/>
          <w:sz w:val="18"/>
          <w:szCs w:val="18"/>
        </w:rPr>
        <w:t>irrégularité</w:t>
      </w:r>
      <w:proofErr w:type="gramEnd"/>
      <w:r>
        <w:rPr>
          <w:rFonts w:ascii="Frutiger-Light" w:hAnsi="Frutiger-Light" w:cs="Frutiger-Light"/>
          <w:sz w:val="18"/>
          <w:szCs w:val="18"/>
        </w:rPr>
        <w:t xml:space="preserve"> ne pourrait être réparée par l’envoi d’une lettre de licenciement à l’issue du</w:t>
      </w:r>
    </w:p>
    <w:p w:rsidR="00C20FAA" w:rsidRDefault="00C20FAA" w:rsidP="00C20FAA">
      <w:pPr>
        <w:pStyle w:val="NormalWeb"/>
        <w:rPr>
          <w:rFonts w:ascii="Frutiger-Light" w:hAnsi="Frutiger-Light" w:cs="Frutiger-Light"/>
          <w:sz w:val="18"/>
          <w:szCs w:val="18"/>
        </w:rPr>
      </w:pPr>
      <w:proofErr w:type="gramStart"/>
      <w:r>
        <w:rPr>
          <w:rFonts w:ascii="Frutiger-Light" w:hAnsi="Frutiger-Light" w:cs="Frutiger-Light"/>
          <w:sz w:val="18"/>
          <w:szCs w:val="18"/>
        </w:rPr>
        <w:lastRenderedPageBreak/>
        <w:t>délai</w:t>
      </w:r>
      <w:proofErr w:type="gramEnd"/>
      <w:r>
        <w:rPr>
          <w:rFonts w:ascii="Frutiger-Light" w:hAnsi="Frutiger-Light" w:cs="Frutiger-Light"/>
          <w:sz w:val="18"/>
          <w:szCs w:val="18"/>
        </w:rPr>
        <w:t xml:space="preserve"> légal (</w:t>
      </w:r>
      <w:proofErr w:type="spellStart"/>
      <w:r>
        <w:rPr>
          <w:rFonts w:ascii="Frutiger-Light" w:hAnsi="Frutiger-Light" w:cs="Frutiger-Light"/>
          <w:sz w:val="18"/>
          <w:szCs w:val="18"/>
        </w:rPr>
        <w:t>Cass</w:t>
      </w:r>
      <w:proofErr w:type="spellEnd"/>
      <w:r>
        <w:rPr>
          <w:rFonts w:ascii="Frutiger-Light" w:hAnsi="Frutiger-Light" w:cs="Frutiger-Light"/>
          <w:sz w:val="18"/>
          <w:szCs w:val="18"/>
        </w:rPr>
        <w:t>. soc.15 novembre 1990).</w:t>
      </w:r>
    </w:p>
    <w:p w:rsidR="00EC2275" w:rsidRDefault="00EC2275" w:rsidP="00EC2275">
      <w:pPr>
        <w:pStyle w:val="para"/>
      </w:pPr>
      <w:r>
        <w:t>Dans un arrêt récent en date du 3 novembre 2010, La cour de Cassation a estimé que l'employeur qui refuse de fournir un travail à son salarié constitue un manquement grave et que le salarié est donc en droit de se prévaloir de la prise d'acte de son contrat de travail aux torts de son employeur.</w:t>
      </w:r>
    </w:p>
    <w:p w:rsidR="00EC2275" w:rsidRDefault="00EC2275" w:rsidP="00EC2275">
      <w:pPr>
        <w:pStyle w:val="para"/>
      </w:pPr>
      <w:r>
        <w:t>Lorsque l'employeur manque à son obligation de fournir le travail convenu au salarié, la prise d'acte par ce dernier de la rupture de son contrat de travail produit les effets d'un licenciement sans cause réelle et sérieuse</w:t>
      </w:r>
      <w:proofErr w:type="gramStart"/>
      <w:r>
        <w:t>.(</w:t>
      </w:r>
      <w:proofErr w:type="gramEnd"/>
      <w:r>
        <w:t xml:space="preserve"> </w:t>
      </w:r>
      <w:proofErr w:type="spellStart"/>
      <w:r>
        <w:t>Cass</w:t>
      </w:r>
      <w:proofErr w:type="spellEnd"/>
      <w:r>
        <w:t xml:space="preserve">. soc. 3 novembre 2010 n° 09-65.254 (n° 2117 F-PB), </w:t>
      </w:r>
      <w:proofErr w:type="spellStart"/>
      <w:r>
        <w:t>Kaddache</w:t>
      </w:r>
      <w:proofErr w:type="spellEnd"/>
      <w:r>
        <w:t xml:space="preserve"> c/ Sté Normande de presse d'édition).</w:t>
      </w:r>
    </w:p>
    <w:p w:rsidR="00EC2275" w:rsidRPr="00FC5FF9" w:rsidRDefault="00EC2275" w:rsidP="00C20FAA">
      <w:pPr>
        <w:pStyle w:val="NormalWeb"/>
        <w:rPr>
          <w:rFonts w:asciiTheme="minorHAnsi" w:hAnsiTheme="minorHAnsi" w:cstheme="minorHAnsi"/>
          <w:sz w:val="20"/>
          <w:szCs w:val="20"/>
        </w:rPr>
      </w:pPr>
    </w:p>
    <w:p w:rsidR="00976881" w:rsidRPr="00FC5FF9" w:rsidRDefault="00976881">
      <w:pPr>
        <w:rPr>
          <w:rFonts w:cstheme="minorHAnsi"/>
          <w:sz w:val="20"/>
          <w:szCs w:val="20"/>
        </w:rPr>
      </w:pPr>
    </w:p>
    <w:p w:rsidR="00571667" w:rsidRPr="00FC5FF9" w:rsidRDefault="00571667">
      <w:pPr>
        <w:rPr>
          <w:rFonts w:cstheme="minorHAnsi"/>
          <w:sz w:val="20"/>
          <w:szCs w:val="20"/>
        </w:rPr>
      </w:pPr>
    </w:p>
    <w:p w:rsidR="00BB27BD" w:rsidRPr="00FC5FF9" w:rsidRDefault="00BB27BD">
      <w:pPr>
        <w:rPr>
          <w:rFonts w:cstheme="minorHAnsi"/>
          <w:sz w:val="20"/>
          <w:szCs w:val="20"/>
        </w:rPr>
      </w:pPr>
    </w:p>
    <w:sectPr w:rsidR="00BB27BD" w:rsidRPr="00FC5F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Frutiger-Light">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049"/>
    <w:rsid w:val="00225877"/>
    <w:rsid w:val="002A0482"/>
    <w:rsid w:val="00315049"/>
    <w:rsid w:val="003539A7"/>
    <w:rsid w:val="00397E11"/>
    <w:rsid w:val="003A25E4"/>
    <w:rsid w:val="003B3453"/>
    <w:rsid w:val="00571667"/>
    <w:rsid w:val="007E2D4B"/>
    <w:rsid w:val="0083535D"/>
    <w:rsid w:val="00976881"/>
    <w:rsid w:val="009A4819"/>
    <w:rsid w:val="00A530A9"/>
    <w:rsid w:val="00AD3096"/>
    <w:rsid w:val="00AF217B"/>
    <w:rsid w:val="00B651E4"/>
    <w:rsid w:val="00BB27BD"/>
    <w:rsid w:val="00C20FAA"/>
    <w:rsid w:val="00D357E2"/>
    <w:rsid w:val="00D62B7D"/>
    <w:rsid w:val="00D8489F"/>
    <w:rsid w:val="00DF2F9C"/>
    <w:rsid w:val="00EC2275"/>
    <w:rsid w:val="00FC5F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651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651E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FC5F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62B7D"/>
    <w:rPr>
      <w:color w:val="0000FF" w:themeColor="hyperlink"/>
      <w:u w:val="single"/>
    </w:rPr>
  </w:style>
  <w:style w:type="paragraph" w:styleId="NormalWeb">
    <w:name w:val="Normal (Web)"/>
    <w:basedOn w:val="Normal"/>
    <w:uiPriority w:val="99"/>
    <w:semiHidden/>
    <w:unhideWhenUsed/>
    <w:rsid w:val="00B651E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B651E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651E4"/>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C5FF9"/>
    <w:rPr>
      <w:rFonts w:asciiTheme="majorHAnsi" w:eastAsiaTheme="majorEastAsia" w:hAnsiTheme="majorHAnsi" w:cstheme="majorBidi"/>
      <w:b/>
      <w:bCs/>
      <w:color w:val="4F81BD" w:themeColor="accent1"/>
    </w:rPr>
  </w:style>
  <w:style w:type="paragraph" w:customStyle="1" w:styleId="para">
    <w:name w:val="para"/>
    <w:basedOn w:val="Normal"/>
    <w:rsid w:val="00EC227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651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651E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FC5F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62B7D"/>
    <w:rPr>
      <w:color w:val="0000FF" w:themeColor="hyperlink"/>
      <w:u w:val="single"/>
    </w:rPr>
  </w:style>
  <w:style w:type="paragraph" w:styleId="NormalWeb">
    <w:name w:val="Normal (Web)"/>
    <w:basedOn w:val="Normal"/>
    <w:uiPriority w:val="99"/>
    <w:semiHidden/>
    <w:unhideWhenUsed/>
    <w:rsid w:val="00B651E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B651E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651E4"/>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C5FF9"/>
    <w:rPr>
      <w:rFonts w:asciiTheme="majorHAnsi" w:eastAsiaTheme="majorEastAsia" w:hAnsiTheme="majorHAnsi" w:cstheme="majorBidi"/>
      <w:b/>
      <w:bCs/>
      <w:color w:val="4F81BD" w:themeColor="accent1"/>
    </w:rPr>
  </w:style>
  <w:style w:type="paragraph" w:customStyle="1" w:styleId="para">
    <w:name w:val="para"/>
    <w:basedOn w:val="Normal"/>
    <w:rsid w:val="00EC227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528766">
      <w:bodyDiv w:val="1"/>
      <w:marLeft w:val="0"/>
      <w:marRight w:val="0"/>
      <w:marTop w:val="0"/>
      <w:marBottom w:val="0"/>
      <w:divBdr>
        <w:top w:val="none" w:sz="0" w:space="0" w:color="auto"/>
        <w:left w:val="none" w:sz="0" w:space="0" w:color="auto"/>
        <w:bottom w:val="none" w:sz="0" w:space="0" w:color="auto"/>
        <w:right w:val="none" w:sz="0" w:space="0" w:color="auto"/>
      </w:divBdr>
    </w:div>
    <w:div w:id="1480922145">
      <w:bodyDiv w:val="1"/>
      <w:marLeft w:val="0"/>
      <w:marRight w:val="0"/>
      <w:marTop w:val="0"/>
      <w:marBottom w:val="0"/>
      <w:divBdr>
        <w:top w:val="none" w:sz="0" w:space="0" w:color="auto"/>
        <w:left w:val="none" w:sz="0" w:space="0" w:color="auto"/>
        <w:bottom w:val="none" w:sz="0" w:space="0" w:color="auto"/>
        <w:right w:val="none" w:sz="0" w:space="0" w:color="auto"/>
      </w:divBdr>
      <w:divsChild>
        <w:div w:id="395661880">
          <w:marLeft w:val="0"/>
          <w:marRight w:val="0"/>
          <w:marTop w:val="0"/>
          <w:marBottom w:val="0"/>
          <w:divBdr>
            <w:top w:val="none" w:sz="0" w:space="0" w:color="auto"/>
            <w:left w:val="none" w:sz="0" w:space="0" w:color="auto"/>
            <w:bottom w:val="none" w:sz="0" w:space="0" w:color="auto"/>
            <w:right w:val="none" w:sz="0" w:space="0" w:color="auto"/>
          </w:divBdr>
        </w:div>
      </w:divsChild>
    </w:div>
    <w:div w:id="1960254869">
      <w:bodyDiv w:val="1"/>
      <w:marLeft w:val="0"/>
      <w:marRight w:val="0"/>
      <w:marTop w:val="0"/>
      <w:marBottom w:val="0"/>
      <w:divBdr>
        <w:top w:val="none" w:sz="0" w:space="0" w:color="auto"/>
        <w:left w:val="none" w:sz="0" w:space="0" w:color="auto"/>
        <w:bottom w:val="none" w:sz="0" w:space="0" w:color="auto"/>
        <w:right w:val="none" w:sz="0" w:space="0" w:color="auto"/>
      </w:divBdr>
    </w:div>
    <w:div w:id="198353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nebourse.com/ON-SEMICONDUCTOR-CORP-10340/fondamentaux/" TargetMode="External"/><Relationship Id="rId13" Type="http://schemas.openxmlformats.org/officeDocument/2006/relationships/hyperlink" Target="http://www.dailyfinance.com/quote/nasdaq/on-semiconductor-corp/onnn/analyst-ratings" TargetMode="External"/><Relationship Id="rId3" Type="http://schemas.openxmlformats.org/officeDocument/2006/relationships/settings" Target="settings.xml"/><Relationship Id="rId7" Type="http://schemas.openxmlformats.org/officeDocument/2006/relationships/hyperlink" Target="http://www.wk-rh.fr/actualites/detail/14237/les-differences-entre-les-categories-professionnelles-sont-remises-en-question.html" TargetMode="External"/><Relationship Id="rId12" Type="http://schemas.openxmlformats.org/officeDocument/2006/relationships/hyperlink" Target="http://fr.finance.yahoo.com/q/mh?s=ONNN"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insee.fr/fr/methodes/nomenclatures/pcsese/pcsese2003/doc/Brochure_PCS_ESE_2003.pdf" TargetMode="External"/><Relationship Id="rId11" Type="http://schemas.openxmlformats.org/officeDocument/2006/relationships/hyperlink" Target="http://www.boursier.com/actions/consensus/on-semiconductor-US6821891057,US.html" TargetMode="External"/><Relationship Id="rId5" Type="http://schemas.openxmlformats.org/officeDocument/2006/relationships/hyperlink" Target="http://www.insee.fr/fr/methodes/default.asp?page=nomenclatures/pcs2003/n3_38.htm" TargetMode="External"/><Relationship Id="rId15" Type="http://schemas.openxmlformats.org/officeDocument/2006/relationships/hyperlink" Target="http://lentreprise.lexpress.fr/donner-demission/la-decision-de-licencier-ne-peut-pas-etre-enterinee-avant-l-entretien_21880.html" TargetMode="External"/><Relationship Id="rId10" Type="http://schemas.openxmlformats.org/officeDocument/2006/relationships/hyperlink" Target="http://www.zonebourse.com/ON-SEMICONDUCTOR-CORP-10340/societe/" TargetMode="External"/><Relationship Id="rId4" Type="http://schemas.openxmlformats.org/officeDocument/2006/relationships/webSettings" Target="webSettings.xml"/><Relationship Id="rId9" Type="http://schemas.openxmlformats.org/officeDocument/2006/relationships/hyperlink" Target="http://www.zonebourse.com/ON-SEMICONDUCTOR-CORP-10340/consensus/" TargetMode="External"/><Relationship Id="rId14" Type="http://schemas.openxmlformats.org/officeDocument/2006/relationships/hyperlink" Target="http://data.cnbc.com/quotes/ONNN/tab/5.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1186</Words>
  <Characters>6529</Characters>
  <Application>Microsoft Office Word</Application>
  <DocSecurity>0</DocSecurity>
  <Lines>54</Lines>
  <Paragraphs>15</Paragraphs>
  <ScaleCrop>false</ScaleCrop>
  <Company/>
  <LinksUpToDate>false</LinksUpToDate>
  <CharactersWithSpaces>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23</cp:revision>
  <dcterms:created xsi:type="dcterms:W3CDTF">2011-10-26T16:38:00Z</dcterms:created>
  <dcterms:modified xsi:type="dcterms:W3CDTF">2011-10-27T09:39:00Z</dcterms:modified>
</cp:coreProperties>
</file>