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DB7" w:rsidRDefault="00624DB7" w:rsidP="00624DB7">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 xml:space="preserve">Enfin les préjudices subis par les salariés ouvrent droit à différentes indemnités et notamment pour : licenciement sans cause réelle et sérieuse : </w:t>
      </w:r>
    </w:p>
    <w:p w:rsidR="00624DB7" w:rsidRDefault="00624DB7" w:rsidP="00624DB7">
      <w:r>
        <w:t xml:space="preserve">La réorganisation de l'entreprise, entraînant des suppressions d'emplois notamment, est aussi admise comme un motif premier valable d'un licenciement économique, mais seulement si cette réorganisation est une condition de la sauvegarde de la compétitivité de l'entreprise : autrement dit, pour faire appel à cette cause première, il vaut mieux, ironiquement, que l'entreprise soit déjà dans une situation économique et financière obérée, ou du moins qu'elle puisse prévoir, de manière étayée, que faute de réorganisation, sa situation économique va irrémédiablement se dégrader. </w:t>
      </w:r>
      <w:r>
        <w:br/>
        <w:t xml:space="preserve">Une réorganisation motivée par une volonté d'améliorer les profits, ou de réduire les charges, n'est pas un motif réel et sérieux de licenciement économique. En revanche, si la réorganisation intervient pour anticiper des difficultés économiques prévisibles et mettre à profit une situation financière saine pour adapter ses structures à l'évolution de son marché dans les meilleures conditions, le licenciement sera fondé (Soc. 11 janvier 2006, n° 04-46.201, publié au bulletin). </w:t>
      </w:r>
      <w:r>
        <w:br/>
        <w:t>Enfin, la cessation d'activité de l'entreprise justifie également un licenciement économique, à condition qu'elle ne soit pas due à une faute de l'employeur ou à sa légèreté blâmable.</w:t>
      </w:r>
    </w:p>
    <w:p w:rsidR="00624DB7" w:rsidRDefault="00624DB7" w:rsidP="00624DB7"/>
    <w:p w:rsidR="00624DB7" w:rsidRDefault="00624DB7" w:rsidP="00624DB7">
      <w:r>
        <w:t xml:space="preserve">Si une société connaît de réelles difficultés économiques, et supprime véritablement le poste d'un salarié suite à ces difficultés, le licenciement économique peut quand même être jugé comme injustifié, si l'employeur ne prouve pas avoir activement recherché un reclassement pour le salarié avant de procéder à son licenciement. </w:t>
      </w:r>
      <w:r>
        <w:br/>
        <w:t xml:space="preserve">Ce sera notamment le cas, par exemple, si une société licencie une secrétaire et embauche parallèlement une standardiste, sans avoir proposé à la secrétaire un reclassement à ce poste. </w:t>
      </w:r>
      <w:r>
        <w:br/>
        <w:t xml:space="preserve">Tous les postes, au sein de l'entreprise ou du groupe, qui sont disponibles, qui peuvent être occupés par le salarié, et sont de même niveau ou de niveau inférieur au poste du salarié dont le licenciement est envisagé doivent lui être proposés, de manière ferme, précise, écrite, et le plus tôt possible, soit, par exemple, avant l'entretien préalable éventuel. </w:t>
      </w:r>
      <w:r>
        <w:br/>
        <w:t xml:space="preserve">Il s'agit d'une obligation de moyen : la petite entreprise qui compte cinq salariés peut justifier qu'elle n'a pu proposer aucun poste de reclassement, faute de poste disponible. Néanmoins, pour éviter toute remise en cause des recherches de reclassement, il est conseillé même aux petites entreprises de prospecter auprès de ses confrères et de solliciter de leur part un reclassement externe des salariés dont le licenciement est envisagé, ne serait-ce que pour avoir des preuves des recherches de reclassement : si le salarié conteste son licenciement aux prud?hommes, ces preuves seront bien utiles. </w:t>
      </w:r>
      <w:r>
        <w:br/>
      </w:r>
      <w:r>
        <w:rPr>
          <w:rStyle w:val="lev"/>
        </w:rPr>
        <w:t>Tout manquement à cette obligation de recherche de reclassement suffit à invalider intégralement le licenciement.</w:t>
      </w:r>
    </w:p>
    <w:p w:rsidR="00624DB7" w:rsidRPr="002A78F5" w:rsidRDefault="00624DB7" w:rsidP="00624DB7">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2A78F5">
        <w:rPr>
          <w:rFonts w:ascii="Times New Roman" w:eastAsia="Times New Roman" w:hAnsi="Times New Roman" w:cs="Times New Roman"/>
          <w:b/>
          <w:bCs/>
          <w:kern w:val="36"/>
          <w:sz w:val="48"/>
          <w:szCs w:val="48"/>
          <w:lang w:eastAsia="fr-FR"/>
        </w:rPr>
        <w:t>Reconnaissance de la qualité de travailleur handicapé (RTH, RQTH)</w:t>
      </w:r>
    </w:p>
    <w:p w:rsidR="00624DB7" w:rsidRPr="00F1736F" w:rsidRDefault="00624DB7" w:rsidP="00624DB7">
      <w:pPr>
        <w:spacing w:before="100" w:beforeAutospacing="1" w:after="100" w:afterAutospacing="1" w:line="240" w:lineRule="auto"/>
        <w:rPr>
          <w:rFonts w:ascii="Times New Roman" w:eastAsia="Times New Roman" w:hAnsi="Times New Roman" w:cs="Times New Roman"/>
          <w:sz w:val="24"/>
          <w:szCs w:val="24"/>
          <w:lang w:eastAsia="fr-FR"/>
        </w:rPr>
      </w:pPr>
      <w:r w:rsidRPr="00F1736F">
        <w:rPr>
          <w:rFonts w:ascii="Times New Roman" w:eastAsia="Times New Roman" w:hAnsi="Times New Roman" w:cs="Times New Roman"/>
          <w:sz w:val="24"/>
          <w:szCs w:val="24"/>
          <w:lang w:eastAsia="fr-FR"/>
        </w:rPr>
        <w:t>Il existe cinq grandes familles de handicap :</w:t>
      </w:r>
    </w:p>
    <w:p w:rsidR="00624DB7" w:rsidRPr="00F1736F" w:rsidRDefault="00624DB7" w:rsidP="00624DB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F1736F">
        <w:rPr>
          <w:rFonts w:ascii="Times New Roman" w:eastAsia="Times New Roman" w:hAnsi="Times New Roman" w:cs="Times New Roman"/>
          <w:sz w:val="24"/>
          <w:szCs w:val="24"/>
          <w:lang w:eastAsia="fr-FR"/>
        </w:rPr>
        <w:lastRenderedPageBreak/>
        <w:t>le handicap moteur (tétraplégie, paraplégie, arthrose, rhumatisme, accident cardio-vasculaire, traumatisme crânien, etc.) ;</w:t>
      </w:r>
    </w:p>
    <w:p w:rsidR="00624DB7" w:rsidRPr="00F1736F" w:rsidRDefault="00624DB7" w:rsidP="00624DB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F1736F">
        <w:rPr>
          <w:rFonts w:ascii="Times New Roman" w:eastAsia="Times New Roman" w:hAnsi="Times New Roman" w:cs="Times New Roman"/>
          <w:sz w:val="24"/>
          <w:szCs w:val="24"/>
          <w:lang w:eastAsia="fr-FR"/>
        </w:rPr>
        <w:t>le handicap visuel (personnes malvoyantes ou non voyantes, glaucome, etc.) ;</w:t>
      </w:r>
    </w:p>
    <w:p w:rsidR="00624DB7" w:rsidRPr="00F1736F" w:rsidRDefault="00624DB7" w:rsidP="00624DB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F1736F">
        <w:rPr>
          <w:rFonts w:ascii="Times New Roman" w:eastAsia="Times New Roman" w:hAnsi="Times New Roman" w:cs="Times New Roman"/>
          <w:sz w:val="24"/>
          <w:szCs w:val="24"/>
          <w:lang w:eastAsia="fr-FR"/>
        </w:rPr>
        <w:t>le handicap auditif (surdité partielle ou totale) ;</w:t>
      </w:r>
    </w:p>
    <w:p w:rsidR="00624DB7" w:rsidRPr="00F1736F" w:rsidRDefault="00624DB7" w:rsidP="00624DB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F1736F">
        <w:rPr>
          <w:rFonts w:ascii="Times New Roman" w:eastAsia="Times New Roman" w:hAnsi="Times New Roman" w:cs="Times New Roman"/>
          <w:sz w:val="24"/>
          <w:szCs w:val="24"/>
          <w:lang w:eastAsia="fr-FR"/>
        </w:rPr>
        <w:t>le handicap psychique (autisme, trisomie, schizophrénie, trouble obsessionnel compulsif, névrose, etc.) ;</w:t>
      </w:r>
    </w:p>
    <w:p w:rsidR="00624DB7" w:rsidRPr="00F1736F" w:rsidRDefault="00624DB7" w:rsidP="00624DB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F1736F">
        <w:rPr>
          <w:rFonts w:ascii="Times New Roman" w:eastAsia="Times New Roman" w:hAnsi="Times New Roman" w:cs="Times New Roman"/>
          <w:sz w:val="24"/>
          <w:szCs w:val="24"/>
          <w:lang w:eastAsia="fr-FR"/>
        </w:rPr>
        <w:t>les maladies invalidantes (diabète, SIDA, cancer, allergie, asthme, hyperthyroïdie, etc.).</w:t>
      </w:r>
    </w:p>
    <w:p w:rsidR="00624DB7" w:rsidRPr="00BF49F2" w:rsidRDefault="00624DB7" w:rsidP="00624DB7">
      <w:pPr>
        <w:spacing w:before="100" w:beforeAutospacing="1" w:after="100" w:afterAutospacing="1" w:line="240" w:lineRule="auto"/>
        <w:ind w:left="708" w:hanging="708"/>
        <w:outlineLvl w:val="1"/>
        <w:rPr>
          <w:rFonts w:ascii="Times New Roman" w:eastAsia="Times New Roman" w:hAnsi="Times New Roman" w:cs="Times New Roman"/>
          <w:b/>
          <w:bCs/>
          <w:sz w:val="36"/>
          <w:szCs w:val="36"/>
          <w:lang w:eastAsia="fr-FR"/>
        </w:rPr>
      </w:pPr>
      <w:r w:rsidRPr="00BF49F2">
        <w:rPr>
          <w:rFonts w:ascii="Times New Roman" w:eastAsia="Times New Roman" w:hAnsi="Times New Roman" w:cs="Times New Roman"/>
          <w:b/>
          <w:bCs/>
          <w:sz w:val="36"/>
          <w:szCs w:val="36"/>
          <w:lang w:eastAsia="fr-FR"/>
        </w:rPr>
        <w:t xml:space="preserve">Travail et handicap » </w:t>
      </w:r>
    </w:p>
    <w:p w:rsidR="00624DB7" w:rsidRPr="00BF49F2" w:rsidRDefault="00624DB7" w:rsidP="00624DB7">
      <w:pPr>
        <w:spacing w:before="100" w:beforeAutospacing="1" w:after="100" w:afterAutospacing="1" w:line="240" w:lineRule="auto"/>
        <w:rPr>
          <w:rFonts w:ascii="Times New Roman" w:eastAsia="Times New Roman" w:hAnsi="Times New Roman" w:cs="Times New Roman"/>
          <w:sz w:val="24"/>
          <w:szCs w:val="24"/>
          <w:lang w:eastAsia="fr-FR"/>
        </w:rPr>
      </w:pPr>
      <w:r w:rsidRPr="00BF49F2">
        <w:rPr>
          <w:rFonts w:ascii="Times New Roman" w:eastAsia="Times New Roman" w:hAnsi="Times New Roman" w:cs="Times New Roman"/>
          <w:sz w:val="24"/>
          <w:szCs w:val="24"/>
          <w:lang w:eastAsia="fr-FR"/>
        </w:rPr>
        <w:t>Le diabète ouvre droit au statut de travailleur handicapé. Effectuée par votre médecin, cette demande peut, entre autres, permettre l’aménagement de votre temps et poste de travail. En cas de procédure de licenciement économique au sein de votre entreprise, elle vous garantit également le maintien maximal de votre poste. Jugée stigmatisante par bon nombre de malades diabétiques, la déclaration de travailleur handicapé doit faire l’objet d’une réflexion approfondie de votre part, avec le médecin qui vous suit.</w:t>
      </w:r>
    </w:p>
    <w:p w:rsidR="00624DB7" w:rsidRPr="00EC1B7B" w:rsidRDefault="00624DB7" w:rsidP="00624DB7">
      <w:pPr>
        <w:spacing w:before="100" w:beforeAutospacing="1" w:after="100" w:afterAutospacing="1" w:line="240" w:lineRule="auto"/>
        <w:rPr>
          <w:rFonts w:ascii="Times New Roman" w:eastAsia="Times New Roman" w:hAnsi="Times New Roman" w:cs="Times New Roman"/>
          <w:sz w:val="24"/>
          <w:szCs w:val="24"/>
          <w:lang w:eastAsia="fr-FR"/>
        </w:rPr>
      </w:pPr>
    </w:p>
    <w:p w:rsidR="00E454F0" w:rsidRDefault="00E454F0" w:rsidP="00E454F0">
      <w:pPr>
        <w:spacing w:before="100" w:beforeAutospacing="1" w:after="100" w:afterAutospacing="1" w:line="240" w:lineRule="auto"/>
        <w:outlineLvl w:val="0"/>
        <w:rPr>
          <w:b/>
          <w:bCs/>
          <w:sz w:val="23"/>
          <w:szCs w:val="23"/>
        </w:rPr>
      </w:pPr>
      <w:r>
        <w:rPr>
          <w:b/>
          <w:bCs/>
          <w:sz w:val="23"/>
          <w:szCs w:val="23"/>
        </w:rPr>
        <w:t>Précarité socio-économique et vulnérabilité</w:t>
      </w:r>
    </w:p>
    <w:p w:rsidR="00E454F0" w:rsidRDefault="00E454F0" w:rsidP="00E454F0">
      <w:pPr>
        <w:spacing w:before="100" w:beforeAutospacing="1" w:after="100" w:afterAutospacing="1" w:line="240" w:lineRule="auto"/>
        <w:outlineLvl w:val="0"/>
        <w:rPr>
          <w:sz w:val="23"/>
          <w:szCs w:val="23"/>
        </w:rPr>
      </w:pPr>
      <w:r>
        <w:rPr>
          <w:sz w:val="23"/>
          <w:szCs w:val="23"/>
        </w:rPr>
        <w:t xml:space="preserve">souffrance psychique fragilisation de ma situation    </w:t>
      </w:r>
    </w:p>
    <w:p w:rsidR="00E454F0" w:rsidRDefault="00E454F0" w:rsidP="00E454F0">
      <w:pPr>
        <w:spacing w:before="100" w:beforeAutospacing="1" w:after="100" w:afterAutospacing="1" w:line="240" w:lineRule="auto"/>
        <w:outlineLvl w:val="0"/>
      </w:pPr>
      <w:r>
        <w:t>Les difficultés de retour à l’emploi – age, handicap</w:t>
      </w:r>
    </w:p>
    <w:p w:rsidR="00E454F0" w:rsidRDefault="00E454F0" w:rsidP="00E454F0">
      <w:pPr>
        <w:spacing w:before="100" w:beforeAutospacing="1" w:after="100" w:afterAutospacing="1" w:line="240" w:lineRule="auto"/>
        <w:outlineLvl w:val="0"/>
        <w:rPr>
          <w:i/>
          <w:iCs/>
          <w:sz w:val="20"/>
          <w:szCs w:val="20"/>
        </w:rPr>
      </w:pPr>
      <w:r>
        <w:rPr>
          <w:i/>
          <w:iCs/>
          <w:sz w:val="20"/>
          <w:szCs w:val="20"/>
        </w:rPr>
        <w:t>A contrario, la souffrance des personnes privées d’emploi est réelle et ses conséquences sociales mesurables</w:t>
      </w:r>
    </w:p>
    <w:p w:rsidR="00E454F0" w:rsidRDefault="00E454F0" w:rsidP="00E454F0">
      <w:pPr>
        <w:spacing w:before="100" w:beforeAutospacing="1" w:after="100" w:afterAutospacing="1" w:line="240" w:lineRule="auto"/>
        <w:outlineLvl w:val="0"/>
      </w:pPr>
      <w:r>
        <w:t>Maintenir une personne malade dans son milieu de travail lui permet de lutter psychologiquement contre la maladie. Cet aspect thérapeutique de l'activité professionnelle est essentiel.</w:t>
      </w:r>
    </w:p>
    <w:p w:rsidR="00E454F0" w:rsidRPr="00E454F0" w:rsidRDefault="00E454F0" w:rsidP="00E454F0">
      <w:pPr>
        <w:autoSpaceDE w:val="0"/>
        <w:autoSpaceDN w:val="0"/>
        <w:adjustRightInd w:val="0"/>
        <w:spacing w:after="0" w:line="240" w:lineRule="auto"/>
        <w:rPr>
          <w:rFonts w:ascii="Times New Roman" w:hAnsi="Times New Roman" w:cs="Times New Roman"/>
          <w:color w:val="006666"/>
          <w:sz w:val="24"/>
          <w:szCs w:val="24"/>
        </w:rPr>
      </w:pPr>
      <w:r w:rsidRPr="00E454F0">
        <w:rPr>
          <w:rFonts w:ascii="Times New Roman" w:hAnsi="Times New Roman" w:cs="Times New Roman"/>
          <w:color w:val="006666"/>
          <w:sz w:val="24"/>
          <w:szCs w:val="24"/>
        </w:rPr>
        <w:t>Le Rapport de la Cour de Cassation</w:t>
      </w:r>
    </w:p>
    <w:p w:rsidR="00E454F0" w:rsidRPr="00E454F0" w:rsidRDefault="00E454F0" w:rsidP="00E454F0">
      <w:pPr>
        <w:autoSpaceDE w:val="0"/>
        <w:autoSpaceDN w:val="0"/>
        <w:adjustRightInd w:val="0"/>
        <w:spacing w:after="0" w:line="240" w:lineRule="auto"/>
        <w:rPr>
          <w:rFonts w:ascii="Times New Roman" w:hAnsi="Times New Roman" w:cs="Times New Roman"/>
          <w:b/>
          <w:bCs/>
          <w:color w:val="000000"/>
          <w:sz w:val="24"/>
          <w:szCs w:val="24"/>
        </w:rPr>
      </w:pPr>
      <w:r w:rsidRPr="00E454F0">
        <w:rPr>
          <w:rFonts w:ascii="Times New Roman" w:eastAsia="Wingdings-Regular" w:hAnsi="Times New Roman" w:cs="Times New Roman"/>
          <w:color w:val="006666"/>
          <w:sz w:val="24"/>
          <w:szCs w:val="24"/>
        </w:rPr>
        <w:t xml:space="preserve"> </w:t>
      </w:r>
      <w:r w:rsidRPr="00E454F0">
        <w:rPr>
          <w:rFonts w:ascii="Times New Roman" w:hAnsi="Times New Roman" w:cs="Times New Roman"/>
          <w:b/>
          <w:bCs/>
          <w:color w:val="000000"/>
          <w:sz w:val="24"/>
          <w:szCs w:val="24"/>
        </w:rPr>
        <w:t>La protection du salarié malade</w:t>
      </w:r>
    </w:p>
    <w:p w:rsidR="00E454F0" w:rsidRPr="00E454F0" w:rsidRDefault="00E454F0" w:rsidP="00E454F0">
      <w:pPr>
        <w:autoSpaceDE w:val="0"/>
        <w:autoSpaceDN w:val="0"/>
        <w:adjustRightInd w:val="0"/>
        <w:spacing w:after="0" w:line="240" w:lineRule="auto"/>
        <w:rPr>
          <w:rFonts w:ascii="Times New Roman" w:hAnsi="Times New Roman" w:cs="Times New Roman"/>
          <w:color w:val="000000"/>
          <w:sz w:val="24"/>
          <w:szCs w:val="24"/>
        </w:rPr>
      </w:pPr>
      <w:r w:rsidRPr="00E454F0">
        <w:rPr>
          <w:rFonts w:ascii="Times New Roman" w:hAnsi="Times New Roman" w:cs="Times New Roman"/>
          <w:color w:val="000000"/>
          <w:sz w:val="24"/>
          <w:szCs w:val="24"/>
        </w:rPr>
        <w:t>. Obligations du salarié malade</w:t>
      </w:r>
    </w:p>
    <w:p w:rsidR="00E454F0" w:rsidRPr="00E454F0" w:rsidRDefault="00E454F0" w:rsidP="00E454F0">
      <w:pPr>
        <w:autoSpaceDE w:val="0"/>
        <w:autoSpaceDN w:val="0"/>
        <w:adjustRightInd w:val="0"/>
        <w:spacing w:after="0" w:line="240" w:lineRule="auto"/>
        <w:rPr>
          <w:rFonts w:ascii="Times New Roman" w:hAnsi="Times New Roman" w:cs="Times New Roman"/>
          <w:color w:val="000000"/>
          <w:sz w:val="24"/>
          <w:szCs w:val="24"/>
        </w:rPr>
      </w:pPr>
      <w:r w:rsidRPr="00E454F0">
        <w:rPr>
          <w:rFonts w:ascii="Times New Roman" w:hAnsi="Times New Roman" w:cs="Times New Roman"/>
          <w:color w:val="000000"/>
          <w:sz w:val="24"/>
          <w:szCs w:val="24"/>
        </w:rPr>
        <w:t>. Les droits du salarié malade</w:t>
      </w:r>
    </w:p>
    <w:p w:rsidR="00E454F0" w:rsidRDefault="00233AC8" w:rsidP="00E454F0">
      <w:pPr>
        <w:spacing w:before="100" w:beforeAutospacing="1" w:after="100" w:afterAutospacing="1" w:line="240" w:lineRule="auto"/>
        <w:outlineLvl w:val="0"/>
      </w:pPr>
      <w:r>
        <w:t xml:space="preserve">Les salariés victimes de maladies ou accidents professionnels : </w:t>
      </w:r>
      <w:hyperlink r:id="rId6" w:history="1">
        <w:r>
          <w:rPr>
            <w:rStyle w:val="Lienhypertexte"/>
          </w:rPr>
          <w:t>article L. 122-32-2 du code du travail français</w:t>
        </w:r>
      </w:hyperlink>
    </w:p>
    <w:p w:rsidR="00E454F0" w:rsidRDefault="00E454F0" w:rsidP="00E454F0">
      <w:pPr>
        <w:spacing w:before="100" w:beforeAutospacing="1" w:after="100" w:afterAutospacing="1" w:line="240" w:lineRule="auto"/>
        <w:outlineLvl w:val="0"/>
      </w:pPr>
    </w:p>
    <w:p w:rsidR="0078431C" w:rsidRDefault="0053483B">
      <w:r>
        <w:t xml:space="preserve">Dès lors que l'employeur a connaissance de la volonté du salarié de faire reconnaître le caractère professionnel de sa maladie, il ne peut procéder au licenciement du salarié. </w:t>
      </w:r>
      <w:r>
        <w:br/>
      </w:r>
      <w:r>
        <w:br/>
        <w:t>L’employeur ne peut résilier le contrat de travail pendant la période de suspension pour accident du travail ou maladie professionnelle, que s’il justifie soit d’une faute grave du salarié, soit de l’impossibilité où il se trouve, pour un motif non lié à l’accident ou à la maladie d’origine professionnelle, de maintenir le contrat (C. trav., art. L. 122-32-2).</w:t>
      </w:r>
    </w:p>
    <w:p w:rsidR="004705AA" w:rsidRDefault="004705AA" w:rsidP="004705AA">
      <w:pPr>
        <w:spacing w:before="100" w:beforeAutospacing="1" w:after="100" w:afterAutospacing="1" w:line="240" w:lineRule="auto"/>
        <w:outlineLvl w:val="0"/>
      </w:pPr>
      <w:r>
        <w:lastRenderedPageBreak/>
        <w:t>L’article L323.-10 du code  issu de la loi du 10 juillet 1987 considère comme travailleur handicapé toute personne dont les possibilités d’obtenir ou de préserver un emploi sont effectivement réduites par la suite d’une insuffisance ou d’une diminution de ses capacités physiques ou mentales</w:t>
      </w:r>
    </w:p>
    <w:p w:rsidR="004705AA" w:rsidRDefault="004705AA" w:rsidP="004705AA">
      <w:pPr>
        <w:autoSpaceDE w:val="0"/>
        <w:autoSpaceDN w:val="0"/>
        <w:adjustRightInd w:val="0"/>
        <w:spacing w:after="0" w:line="240" w:lineRule="auto"/>
        <w:rPr>
          <w:rFonts w:ascii="MyriadPro-Regular" w:hAnsi="MyriadPro-Regular" w:cs="MyriadPro-Regular"/>
          <w:color w:val="893B91"/>
          <w:sz w:val="24"/>
          <w:szCs w:val="24"/>
        </w:rPr>
      </w:pPr>
      <w:r>
        <w:rPr>
          <w:rFonts w:ascii="MyriadPro-Regular" w:hAnsi="MyriadPro-Regular" w:cs="MyriadPro-Regular"/>
          <w:color w:val="893B91"/>
          <w:sz w:val="24"/>
          <w:szCs w:val="24"/>
        </w:rPr>
        <w:t>Le handicap</w:t>
      </w:r>
    </w:p>
    <w:p w:rsidR="004705AA" w:rsidRDefault="004705AA" w:rsidP="004705AA">
      <w:pPr>
        <w:autoSpaceDE w:val="0"/>
        <w:autoSpaceDN w:val="0"/>
        <w:adjustRightInd w:val="0"/>
        <w:spacing w:after="0" w:line="240" w:lineRule="auto"/>
        <w:rPr>
          <w:rFonts w:ascii="MyriadPro-Regular" w:hAnsi="MyriadPro-Regular" w:cs="MyriadPro-Regular"/>
          <w:color w:val="893B91"/>
          <w:sz w:val="20"/>
          <w:szCs w:val="20"/>
        </w:rPr>
      </w:pPr>
      <w:r>
        <w:rPr>
          <w:rFonts w:ascii="MyriadPro-Regular" w:hAnsi="MyriadPro-Regular" w:cs="MyriadPro-Regular"/>
          <w:color w:val="893B91"/>
          <w:sz w:val="20"/>
          <w:szCs w:val="20"/>
        </w:rPr>
        <w:t>Selon la loi, le handicap est caractérisé par « toute limitation d’activité ou restriction de participation</w:t>
      </w:r>
    </w:p>
    <w:p w:rsidR="004705AA" w:rsidRDefault="004705AA" w:rsidP="004705AA">
      <w:pPr>
        <w:autoSpaceDE w:val="0"/>
        <w:autoSpaceDN w:val="0"/>
        <w:adjustRightInd w:val="0"/>
        <w:spacing w:after="0" w:line="240" w:lineRule="auto"/>
        <w:rPr>
          <w:rFonts w:ascii="MyriadPro-Regular" w:hAnsi="MyriadPro-Regular" w:cs="MyriadPro-Regular"/>
          <w:color w:val="893B91"/>
          <w:sz w:val="20"/>
          <w:szCs w:val="20"/>
        </w:rPr>
      </w:pPr>
      <w:r>
        <w:rPr>
          <w:rFonts w:ascii="MyriadPro-Regular" w:hAnsi="MyriadPro-Regular" w:cs="MyriadPro-Regular"/>
          <w:color w:val="893B91"/>
          <w:sz w:val="20"/>
          <w:szCs w:val="20"/>
        </w:rPr>
        <w:t>à la vie en société subie dans son environnement par une personne en raison d’une altération</w:t>
      </w:r>
    </w:p>
    <w:p w:rsidR="004705AA" w:rsidRDefault="004705AA" w:rsidP="004705AA">
      <w:pPr>
        <w:autoSpaceDE w:val="0"/>
        <w:autoSpaceDN w:val="0"/>
        <w:adjustRightInd w:val="0"/>
        <w:spacing w:after="0" w:line="240" w:lineRule="auto"/>
        <w:rPr>
          <w:rFonts w:ascii="MyriadPro-Regular" w:hAnsi="MyriadPro-Regular" w:cs="MyriadPro-Regular"/>
          <w:color w:val="893B91"/>
          <w:sz w:val="20"/>
          <w:szCs w:val="20"/>
        </w:rPr>
      </w:pPr>
      <w:r>
        <w:rPr>
          <w:rFonts w:ascii="MyriadPro-Regular" w:hAnsi="MyriadPro-Regular" w:cs="MyriadPro-Regular"/>
          <w:color w:val="893B91"/>
          <w:sz w:val="20"/>
          <w:szCs w:val="20"/>
        </w:rPr>
        <w:t>substantielle, durable ou définitive d’une ou plusieurs fonctions physiques, sensorielles,</w:t>
      </w:r>
    </w:p>
    <w:p w:rsidR="004705AA" w:rsidRDefault="004705AA" w:rsidP="004705AA">
      <w:pPr>
        <w:autoSpaceDE w:val="0"/>
        <w:autoSpaceDN w:val="0"/>
        <w:adjustRightInd w:val="0"/>
        <w:spacing w:after="0" w:line="240" w:lineRule="auto"/>
        <w:rPr>
          <w:rFonts w:ascii="MyriadPro-Regular" w:hAnsi="MyriadPro-Regular" w:cs="MyriadPro-Regular"/>
          <w:color w:val="893B91"/>
          <w:sz w:val="20"/>
          <w:szCs w:val="20"/>
        </w:rPr>
      </w:pPr>
      <w:r>
        <w:rPr>
          <w:rFonts w:ascii="MyriadPro-Regular" w:hAnsi="MyriadPro-Regular" w:cs="MyriadPro-Regular"/>
          <w:color w:val="893B91"/>
          <w:sz w:val="20"/>
          <w:szCs w:val="20"/>
        </w:rPr>
        <w:t>mentales, cognitives ou psychiques, d’un polyhandicap ou d’un trouble de santé invalidant »,</w:t>
      </w:r>
    </w:p>
    <w:p w:rsidR="004705AA" w:rsidRDefault="004705AA"/>
    <w:p w:rsidR="004705AA" w:rsidRDefault="00981347">
      <w:r>
        <w:t>loi du 11 fevrier 2005 définition élargie de l’handicap</w:t>
      </w:r>
    </w:p>
    <w:p w:rsidR="00476A6A" w:rsidRDefault="00476A6A" w:rsidP="00476A6A">
      <w:pPr>
        <w:spacing w:before="100" w:beforeAutospacing="1" w:after="100" w:afterAutospacing="1" w:line="240" w:lineRule="auto"/>
        <w:outlineLvl w:val="0"/>
        <w:rPr>
          <w:rFonts w:ascii="Bliss-Bold" w:hAnsi="Bliss-Bold" w:cs="Bliss-Bold"/>
          <w:b/>
          <w:bCs/>
          <w:sz w:val="24"/>
          <w:szCs w:val="24"/>
        </w:rPr>
      </w:pPr>
      <w:r>
        <w:rPr>
          <w:rFonts w:ascii="Bliss-Bold" w:hAnsi="Bliss-Bold" w:cs="Bliss-Bold"/>
          <w:b/>
          <w:bCs/>
          <w:sz w:val="24"/>
          <w:szCs w:val="24"/>
        </w:rPr>
        <w:t>maladies psychiques</w:t>
      </w:r>
      <w:r w:rsidR="004341F4">
        <w:rPr>
          <w:rFonts w:ascii="Bliss-Bold" w:hAnsi="Bliss-Bold" w:cs="Bliss-Bold"/>
          <w:b/>
          <w:bCs/>
          <w:sz w:val="24"/>
          <w:szCs w:val="24"/>
        </w:rPr>
        <w:t xml:space="preserve">  polypathologies</w:t>
      </w:r>
      <w:bookmarkStart w:id="0" w:name="_GoBack"/>
      <w:bookmarkEnd w:id="0"/>
    </w:p>
    <w:p w:rsidR="00476A6A" w:rsidRDefault="00476A6A"/>
    <w:sectPr w:rsidR="00476A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MyriadPro-Regular">
    <w:panose1 w:val="00000000000000000000"/>
    <w:charset w:val="00"/>
    <w:family w:val="swiss"/>
    <w:notTrueType/>
    <w:pitch w:val="default"/>
    <w:sig w:usb0="00000003" w:usb1="00000000" w:usb2="00000000" w:usb3="00000000" w:csb0="00000001" w:csb1="00000000"/>
  </w:font>
  <w:font w:name="Blis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20884"/>
    <w:multiLevelType w:val="multilevel"/>
    <w:tmpl w:val="D18A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DB7"/>
    <w:rsid w:val="00233AC8"/>
    <w:rsid w:val="004341F4"/>
    <w:rsid w:val="004705AA"/>
    <w:rsid w:val="00476A6A"/>
    <w:rsid w:val="0053483B"/>
    <w:rsid w:val="00624DB7"/>
    <w:rsid w:val="0078431C"/>
    <w:rsid w:val="009125FC"/>
    <w:rsid w:val="00981347"/>
    <w:rsid w:val="00E454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624DB7"/>
    <w:rPr>
      <w:b/>
      <w:bCs/>
    </w:rPr>
  </w:style>
  <w:style w:type="character" w:styleId="Lienhypertexte">
    <w:name w:val="Hyperlink"/>
    <w:basedOn w:val="Policepardfaut"/>
    <w:uiPriority w:val="99"/>
    <w:unhideWhenUsed/>
    <w:rsid w:val="00233A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624DB7"/>
    <w:rPr>
      <w:b/>
      <w:bCs/>
    </w:rPr>
  </w:style>
  <w:style w:type="character" w:styleId="Lienhypertexte">
    <w:name w:val="Hyperlink"/>
    <w:basedOn w:val="Policepardfaut"/>
    <w:uiPriority w:val="99"/>
    <w:unhideWhenUsed/>
    <w:rsid w:val="00233A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france.gouv.fr/WAspad/UnArticleDeCode?code=CTRAVAIL.rcv&amp;art=L122-32-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955</Words>
  <Characters>5256</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delpy</dc:creator>
  <cp:keywords/>
  <dc:description/>
  <cp:lastModifiedBy>delpy</cp:lastModifiedBy>
  <cp:revision>7</cp:revision>
  <dcterms:created xsi:type="dcterms:W3CDTF">2011-10-05T09:10:00Z</dcterms:created>
  <dcterms:modified xsi:type="dcterms:W3CDTF">2011-10-05T09:58:00Z</dcterms:modified>
</cp:coreProperties>
</file>