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F4B" w:rsidRDefault="00066E5E">
      <w:proofErr w:type="gramStart"/>
      <w:r>
        <w:t>l’arrêté</w:t>
      </w:r>
      <w:proofErr w:type="gramEnd"/>
      <w:r>
        <w:t xml:space="preserve"> du 4 décembre 2008 fixant le « cadre des transferts de livrets A » stipule que, si l’épargnant dispose des coordonnées bancaires complètes, le virement doit être effectué et l’ancien livret clôturé dans les 15 jours suivant la demande.</w:t>
      </w:r>
      <w:bookmarkStart w:id="0" w:name="_GoBack"/>
      <w:bookmarkEnd w:id="0"/>
    </w:p>
    <w:sectPr w:rsidR="00FB7F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E5E"/>
    <w:rsid w:val="00066E5E"/>
    <w:rsid w:val="00084CFA"/>
    <w:rsid w:val="00E52A5C"/>
    <w:rsid w:val="00FB7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Patrice</dc:creator>
  <cp:lastModifiedBy>Patrice</cp:lastModifiedBy>
  <cp:revision>2</cp:revision>
  <dcterms:created xsi:type="dcterms:W3CDTF">2013-10-26T09:27:00Z</dcterms:created>
  <dcterms:modified xsi:type="dcterms:W3CDTF">2013-10-26T09:27:00Z</dcterms:modified>
</cp:coreProperties>
</file>