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B6C" w:rsidRDefault="004F5511">
      <w:r>
        <w:t>L’objectif :</w:t>
      </w:r>
    </w:p>
    <w:p w:rsidR="004F5511" w:rsidRDefault="004F5511">
      <w:r>
        <w:t>Multinationale qui veut fermer une activité en France pour la transférer ailleurs.</w:t>
      </w:r>
    </w:p>
    <w:p w:rsidR="004F5511" w:rsidRDefault="004F5511">
      <w:r>
        <w:rPr>
          <w:noProof/>
          <w:lang w:eastAsia="fr-FR"/>
        </w:rPr>
        <w:drawing>
          <wp:inline distT="0" distB="0" distL="0" distR="0" wp14:anchorId="163F5571" wp14:editId="21842E9B">
            <wp:extent cx="5760720" cy="14058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B0" w:rsidRDefault="00FB05B0"/>
    <w:p w:rsidR="00FB05B0" w:rsidRDefault="00FB05B0">
      <w:pPr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exécution</w:t>
      </w:r>
      <w:proofErr w:type="gramEnd"/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 </w:t>
      </w:r>
      <w:r>
        <w:rPr>
          <w:rStyle w:val="Accentuation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déloyale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 du contrat, discrimination</w:t>
      </w:r>
    </w:p>
    <w:p w:rsidR="00FB05B0" w:rsidRDefault="00FB05B0">
      <w:hyperlink r:id="rId6" w:history="1">
        <w:r w:rsidRPr="004667C4">
          <w:rPr>
            <w:rStyle w:val="Lienhypertexte"/>
          </w:rPr>
          <w:t>https://www.avocats-toulouse.com/fr/actualites-du-barreau/chronique-juridique/chronique-ce-mal-croissant-de-lemployeur-appele-edct#:~:text=EDCT%20ou%20l'ex%C3%A9cution%20d%C3%A9loyale,foi%20du%20contrat%20de%20travail</w:t>
        </w:r>
      </w:hyperlink>
      <w:r w:rsidRPr="00FB05B0">
        <w:t>.</w:t>
      </w:r>
    </w:p>
    <w:p w:rsidR="00FB05B0" w:rsidRDefault="00FB05B0">
      <w:r>
        <w:rPr>
          <w:noProof/>
          <w:lang w:eastAsia="fr-FR"/>
        </w:rPr>
        <w:drawing>
          <wp:inline distT="0" distB="0" distL="0" distR="0" wp14:anchorId="088AF489" wp14:editId="60F7FE01">
            <wp:extent cx="5760720" cy="384238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B0" w:rsidRDefault="00FB05B0"/>
    <w:p w:rsidR="00FB05B0" w:rsidRDefault="00FB05B0">
      <w:r>
        <w:rPr>
          <w:noProof/>
          <w:lang w:eastAsia="fr-FR"/>
        </w:rPr>
        <w:drawing>
          <wp:inline distT="0" distB="0" distL="0" distR="0" wp14:anchorId="5928DA44" wp14:editId="72BBB899">
            <wp:extent cx="5760720" cy="39878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B0" w:rsidRDefault="00FB05B0">
      <w:r>
        <w:t>Ne pas donner de travail</w:t>
      </w:r>
    </w:p>
    <w:p w:rsidR="00FB05B0" w:rsidRDefault="00FB05B0">
      <w:r>
        <w:t xml:space="preserve">Ne pas remettre les </w:t>
      </w:r>
      <w:proofErr w:type="spellStart"/>
      <w:r>
        <w:t>éval</w:t>
      </w:r>
      <w:proofErr w:type="spellEnd"/>
    </w:p>
    <w:p w:rsidR="00FB05B0" w:rsidRDefault="00FB05B0">
      <w:r>
        <w:rPr>
          <w:noProof/>
          <w:lang w:eastAsia="fr-FR"/>
        </w:rPr>
        <w:lastRenderedPageBreak/>
        <w:drawing>
          <wp:inline distT="0" distB="0" distL="0" distR="0" wp14:anchorId="09FB93FC" wp14:editId="438F4D96">
            <wp:extent cx="5760720" cy="17214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proofErr w:type="gramStart"/>
      <w:r>
        <w:t>uations</w:t>
      </w:r>
      <w:proofErr w:type="spellEnd"/>
      <w:proofErr w:type="gramEnd"/>
      <w:r>
        <w:t xml:space="preserve"> de l’années précédentes</w:t>
      </w:r>
    </w:p>
    <w:p w:rsidR="00916695" w:rsidRDefault="00916695"/>
    <w:p w:rsidR="00916695" w:rsidRDefault="00916695"/>
    <w:p w:rsidR="00916695" w:rsidRPr="00916695" w:rsidRDefault="00916695" w:rsidP="00916695">
      <w:pPr>
        <w:spacing w:after="0" w:line="600" w:lineRule="atLeast"/>
        <w:outlineLvl w:val="1"/>
        <w:rPr>
          <w:rFonts w:ascii="Times New Roman" w:eastAsia="Times New Roman" w:hAnsi="Times New Roman" w:cs="Times New Roman"/>
          <w:color w:val="132651"/>
          <w:sz w:val="60"/>
          <w:szCs w:val="60"/>
          <w:lang w:eastAsia="fr-FR"/>
        </w:rPr>
      </w:pPr>
      <w:r w:rsidRPr="00916695">
        <w:rPr>
          <w:rFonts w:ascii="Times New Roman" w:eastAsia="Times New Roman" w:hAnsi="Times New Roman" w:cs="Times New Roman"/>
          <w:b/>
          <w:bCs/>
          <w:color w:val="132651"/>
          <w:sz w:val="60"/>
          <w:szCs w:val="60"/>
          <w:lang w:eastAsia="fr-FR"/>
        </w:rPr>
        <w:t>Les indemnisations liées à la formation ou à l’exécution du contrat de travail échappent au barème</w:t>
      </w:r>
    </w:p>
    <w:p w:rsidR="00916695" w:rsidRPr="00916695" w:rsidRDefault="00916695" w:rsidP="00916695">
      <w:pPr>
        <w:spacing w:after="0" w:line="240" w:lineRule="auto"/>
        <w:rPr>
          <w:rFonts w:ascii="Arial" w:eastAsia="Times New Roman" w:hAnsi="Arial" w:cs="Arial"/>
          <w:color w:val="132651"/>
          <w:sz w:val="23"/>
          <w:szCs w:val="23"/>
          <w:lang w:eastAsia="fr-FR"/>
        </w:rPr>
      </w:pPr>
      <w:r w:rsidRPr="00916695">
        <w:rPr>
          <w:rFonts w:ascii="Arial" w:eastAsia="Times New Roman" w:hAnsi="Arial" w:cs="Arial"/>
          <w:color w:val="132651"/>
          <w:sz w:val="23"/>
          <w:szCs w:val="23"/>
          <w:lang w:eastAsia="fr-FR"/>
        </w:rPr>
        <w:t>Il n’apparaît pas inutile d’enfoncer une porte ouverte : le </w:t>
      </w:r>
      <w:r w:rsidRPr="00916695">
        <w:rPr>
          <w:rFonts w:ascii="Arial" w:eastAsia="Times New Roman" w:hAnsi="Arial" w:cs="Arial"/>
          <w:b/>
          <w:bCs/>
          <w:color w:val="132651"/>
          <w:sz w:val="23"/>
          <w:szCs w:val="23"/>
          <w:lang w:eastAsia="fr-FR"/>
        </w:rPr>
        <w:t>barème</w:t>
      </w:r>
      <w:r w:rsidRPr="00916695">
        <w:rPr>
          <w:rFonts w:ascii="Arial" w:eastAsia="Times New Roman" w:hAnsi="Arial" w:cs="Arial"/>
          <w:color w:val="132651"/>
          <w:sz w:val="23"/>
          <w:szCs w:val="23"/>
          <w:lang w:eastAsia="fr-FR"/>
        </w:rPr>
        <w:t> est strictement limité à l’indemnisation du </w:t>
      </w:r>
      <w:r w:rsidRPr="00916695">
        <w:rPr>
          <w:rFonts w:ascii="Arial" w:eastAsia="Times New Roman" w:hAnsi="Arial" w:cs="Arial"/>
          <w:b/>
          <w:bCs/>
          <w:color w:val="132651"/>
          <w:sz w:val="23"/>
          <w:szCs w:val="23"/>
          <w:lang w:eastAsia="fr-FR"/>
        </w:rPr>
        <w:t>licenciement dépourvu de cause réelle et sérieuse</w:t>
      </w:r>
      <w:r w:rsidRPr="00916695">
        <w:rPr>
          <w:rFonts w:ascii="Arial" w:eastAsia="Times New Roman" w:hAnsi="Arial" w:cs="Arial"/>
          <w:color w:val="132651"/>
          <w:sz w:val="23"/>
          <w:szCs w:val="23"/>
          <w:lang w:eastAsia="fr-FR"/>
        </w:rPr>
        <w:t>.</w:t>
      </w:r>
    </w:p>
    <w:p w:rsidR="00916695" w:rsidRPr="00916695" w:rsidRDefault="00916695" w:rsidP="00916695">
      <w:pPr>
        <w:spacing w:after="0" w:line="240" w:lineRule="auto"/>
        <w:rPr>
          <w:rFonts w:ascii="Arial" w:eastAsia="Times New Roman" w:hAnsi="Arial" w:cs="Arial"/>
          <w:color w:val="132651"/>
          <w:sz w:val="23"/>
          <w:szCs w:val="23"/>
          <w:lang w:eastAsia="fr-FR"/>
        </w:rPr>
      </w:pPr>
      <w:r w:rsidRPr="00916695">
        <w:rPr>
          <w:rFonts w:ascii="Arial" w:eastAsia="Times New Roman" w:hAnsi="Arial" w:cs="Arial"/>
          <w:color w:val="132651"/>
          <w:sz w:val="23"/>
          <w:szCs w:val="23"/>
          <w:lang w:eastAsia="fr-FR"/>
        </w:rPr>
        <w:t> </w:t>
      </w:r>
    </w:p>
    <w:p w:rsidR="00916695" w:rsidRPr="00916695" w:rsidRDefault="00916695" w:rsidP="00916695">
      <w:pPr>
        <w:spacing w:after="0" w:line="240" w:lineRule="auto"/>
        <w:rPr>
          <w:rFonts w:ascii="Arial" w:eastAsia="Times New Roman" w:hAnsi="Arial" w:cs="Arial"/>
          <w:color w:val="132651"/>
          <w:sz w:val="23"/>
          <w:szCs w:val="23"/>
          <w:lang w:eastAsia="fr-FR"/>
        </w:rPr>
      </w:pPr>
      <w:r w:rsidRPr="00916695">
        <w:rPr>
          <w:rFonts w:ascii="Arial" w:eastAsia="Times New Roman" w:hAnsi="Arial" w:cs="Arial"/>
          <w:color w:val="132651"/>
          <w:sz w:val="23"/>
          <w:szCs w:val="23"/>
          <w:lang w:eastAsia="fr-FR"/>
        </w:rPr>
        <w:t>Il est donc possible de solliciter par ailleurs diverses </w:t>
      </w:r>
      <w:r w:rsidRPr="00916695">
        <w:rPr>
          <w:rFonts w:ascii="Arial" w:eastAsia="Times New Roman" w:hAnsi="Arial" w:cs="Arial"/>
          <w:b/>
          <w:bCs/>
          <w:color w:val="132651"/>
          <w:sz w:val="23"/>
          <w:szCs w:val="23"/>
          <w:lang w:eastAsia="fr-FR"/>
        </w:rPr>
        <w:t>indemnisations</w:t>
      </w:r>
      <w:r w:rsidRPr="00916695">
        <w:rPr>
          <w:rFonts w:ascii="Arial" w:eastAsia="Times New Roman" w:hAnsi="Arial" w:cs="Arial"/>
          <w:color w:val="132651"/>
          <w:sz w:val="23"/>
          <w:szCs w:val="23"/>
          <w:lang w:eastAsia="fr-FR"/>
        </w:rPr>
        <w:t> qui échappent au </w:t>
      </w:r>
      <w:r w:rsidRPr="00916695">
        <w:rPr>
          <w:rFonts w:ascii="Arial" w:eastAsia="Times New Roman" w:hAnsi="Arial" w:cs="Arial"/>
          <w:b/>
          <w:bCs/>
          <w:color w:val="132651"/>
          <w:sz w:val="23"/>
          <w:szCs w:val="23"/>
          <w:lang w:eastAsia="fr-FR"/>
        </w:rPr>
        <w:t>barème</w:t>
      </w:r>
      <w:r w:rsidRPr="00916695">
        <w:rPr>
          <w:rFonts w:ascii="Arial" w:eastAsia="Times New Roman" w:hAnsi="Arial" w:cs="Arial"/>
          <w:color w:val="132651"/>
          <w:sz w:val="23"/>
          <w:szCs w:val="23"/>
          <w:lang w:eastAsia="fr-FR"/>
        </w:rPr>
        <w:t>, que ce soit au titre de la formation du contrat ou de l’exécution du </w:t>
      </w:r>
      <w:r w:rsidRPr="00916695">
        <w:rPr>
          <w:rFonts w:ascii="Arial" w:eastAsia="Times New Roman" w:hAnsi="Arial" w:cs="Arial"/>
          <w:b/>
          <w:bCs/>
          <w:color w:val="132651"/>
          <w:sz w:val="23"/>
          <w:szCs w:val="23"/>
          <w:lang w:eastAsia="fr-FR"/>
        </w:rPr>
        <w:t>contrat de travail.</w:t>
      </w:r>
    </w:p>
    <w:p w:rsidR="00916695" w:rsidRPr="00916695" w:rsidRDefault="00916695" w:rsidP="00916695">
      <w:pPr>
        <w:spacing w:after="0" w:line="240" w:lineRule="auto"/>
        <w:rPr>
          <w:rFonts w:ascii="Arial" w:eastAsia="Times New Roman" w:hAnsi="Arial" w:cs="Arial"/>
          <w:color w:val="132651"/>
          <w:sz w:val="23"/>
          <w:szCs w:val="23"/>
          <w:lang w:eastAsia="fr-FR"/>
        </w:rPr>
      </w:pPr>
      <w:r w:rsidRPr="00916695">
        <w:rPr>
          <w:rFonts w:ascii="Arial" w:eastAsia="Times New Roman" w:hAnsi="Arial" w:cs="Arial"/>
          <w:color w:val="132651"/>
          <w:sz w:val="23"/>
          <w:szCs w:val="23"/>
          <w:lang w:eastAsia="fr-FR"/>
        </w:rPr>
        <w:t> </w:t>
      </w:r>
    </w:p>
    <w:p w:rsidR="00916695" w:rsidRPr="00916695" w:rsidRDefault="00916695" w:rsidP="00916695">
      <w:pPr>
        <w:spacing w:after="0" w:line="240" w:lineRule="auto"/>
        <w:rPr>
          <w:rFonts w:ascii="Arial" w:eastAsia="Times New Roman" w:hAnsi="Arial" w:cs="Arial"/>
          <w:color w:val="132651"/>
          <w:sz w:val="23"/>
          <w:szCs w:val="23"/>
          <w:lang w:eastAsia="fr-FR"/>
        </w:rPr>
      </w:pPr>
      <w:r w:rsidRPr="00916695">
        <w:rPr>
          <w:rFonts w:ascii="Arial" w:eastAsia="Times New Roman" w:hAnsi="Arial" w:cs="Arial"/>
          <w:color w:val="132651"/>
          <w:sz w:val="23"/>
          <w:szCs w:val="23"/>
          <w:lang w:eastAsia="fr-FR"/>
        </w:rPr>
        <w:t>L’indemnité de requalification d’un CDD en un CDI ne viendra donc pas entamer le barème indemnitaire.</w:t>
      </w:r>
    </w:p>
    <w:p w:rsidR="00916695" w:rsidRPr="00916695" w:rsidRDefault="00916695" w:rsidP="00916695">
      <w:pPr>
        <w:spacing w:after="0" w:line="240" w:lineRule="auto"/>
        <w:rPr>
          <w:rFonts w:ascii="Arial" w:eastAsia="Times New Roman" w:hAnsi="Arial" w:cs="Arial"/>
          <w:color w:val="132651"/>
          <w:sz w:val="23"/>
          <w:szCs w:val="23"/>
          <w:lang w:eastAsia="fr-FR"/>
        </w:rPr>
      </w:pPr>
      <w:r w:rsidRPr="00916695">
        <w:rPr>
          <w:rFonts w:ascii="Arial" w:eastAsia="Times New Roman" w:hAnsi="Arial" w:cs="Arial"/>
          <w:color w:val="132651"/>
          <w:sz w:val="23"/>
          <w:szCs w:val="23"/>
          <w:lang w:eastAsia="fr-FR"/>
        </w:rPr>
        <w:t> </w:t>
      </w:r>
    </w:p>
    <w:p w:rsidR="00916695" w:rsidRPr="00916695" w:rsidRDefault="00916695" w:rsidP="00916695">
      <w:pPr>
        <w:spacing w:after="0" w:line="240" w:lineRule="auto"/>
        <w:rPr>
          <w:rFonts w:ascii="Arial" w:eastAsia="Times New Roman" w:hAnsi="Arial" w:cs="Arial"/>
          <w:color w:val="132651"/>
          <w:sz w:val="23"/>
          <w:szCs w:val="23"/>
          <w:lang w:eastAsia="fr-FR"/>
        </w:rPr>
      </w:pPr>
      <w:r w:rsidRPr="00916695">
        <w:rPr>
          <w:rFonts w:ascii="Arial" w:eastAsia="Times New Roman" w:hAnsi="Arial" w:cs="Arial"/>
          <w:color w:val="132651"/>
          <w:sz w:val="23"/>
          <w:szCs w:val="23"/>
          <w:lang w:eastAsia="fr-FR"/>
        </w:rPr>
        <w:t>L’allocation de </w:t>
      </w:r>
      <w:r w:rsidRPr="00916695">
        <w:rPr>
          <w:rFonts w:ascii="Arial" w:eastAsia="Times New Roman" w:hAnsi="Arial" w:cs="Arial"/>
          <w:b/>
          <w:bCs/>
          <w:color w:val="132651"/>
          <w:sz w:val="23"/>
          <w:szCs w:val="23"/>
          <w:lang w:eastAsia="fr-FR"/>
        </w:rPr>
        <w:t>dommages et intérêts</w:t>
      </w:r>
      <w:r w:rsidRPr="00916695">
        <w:rPr>
          <w:rFonts w:ascii="Arial" w:eastAsia="Times New Roman" w:hAnsi="Arial" w:cs="Arial"/>
          <w:color w:val="132651"/>
          <w:sz w:val="23"/>
          <w:szCs w:val="23"/>
          <w:lang w:eastAsia="fr-FR"/>
        </w:rPr>
        <w:t xml:space="preserve"> par exemple pour exécution déloyale du contrat de travail, harcèlement moral, harcèlement sexuel, violation de l’obligation de sécurité, violation des règles relatives au temps de travail, travail dissimulé, discrimination… </w:t>
      </w:r>
      <w:proofErr w:type="spellStart"/>
      <w:r w:rsidRPr="00916695">
        <w:rPr>
          <w:rFonts w:ascii="Arial" w:eastAsia="Times New Roman" w:hAnsi="Arial" w:cs="Arial"/>
          <w:color w:val="132651"/>
          <w:sz w:val="23"/>
          <w:szCs w:val="23"/>
          <w:lang w:eastAsia="fr-FR"/>
        </w:rPr>
        <w:t>etc</w:t>
      </w:r>
      <w:proofErr w:type="spellEnd"/>
      <w:r w:rsidRPr="00916695">
        <w:rPr>
          <w:rFonts w:ascii="Arial" w:eastAsia="Times New Roman" w:hAnsi="Arial" w:cs="Arial"/>
          <w:color w:val="132651"/>
          <w:sz w:val="23"/>
          <w:szCs w:val="23"/>
          <w:lang w:eastAsia="fr-FR"/>
        </w:rPr>
        <w:t xml:space="preserve"> sont également hors barème.</w:t>
      </w:r>
    </w:p>
    <w:p w:rsidR="00916695" w:rsidRPr="00916695" w:rsidRDefault="00916695" w:rsidP="00916695">
      <w:pPr>
        <w:spacing w:after="0" w:line="240" w:lineRule="auto"/>
        <w:rPr>
          <w:rFonts w:ascii="Arial" w:eastAsia="Times New Roman" w:hAnsi="Arial" w:cs="Arial"/>
          <w:color w:val="132651"/>
          <w:sz w:val="23"/>
          <w:szCs w:val="23"/>
          <w:lang w:eastAsia="fr-FR"/>
        </w:rPr>
      </w:pPr>
      <w:r w:rsidRPr="00916695">
        <w:rPr>
          <w:rFonts w:ascii="Arial" w:eastAsia="Times New Roman" w:hAnsi="Arial" w:cs="Arial"/>
          <w:color w:val="132651"/>
          <w:sz w:val="23"/>
          <w:szCs w:val="23"/>
          <w:lang w:eastAsia="fr-FR"/>
        </w:rPr>
        <w:t> </w:t>
      </w:r>
    </w:p>
    <w:p w:rsidR="00916695" w:rsidRPr="00916695" w:rsidRDefault="00916695" w:rsidP="00916695">
      <w:pPr>
        <w:spacing w:after="0" w:line="240" w:lineRule="auto"/>
        <w:rPr>
          <w:rFonts w:ascii="Arial" w:eastAsia="Times New Roman" w:hAnsi="Arial" w:cs="Arial"/>
          <w:color w:val="132651"/>
          <w:sz w:val="23"/>
          <w:szCs w:val="23"/>
          <w:lang w:eastAsia="fr-FR"/>
        </w:rPr>
      </w:pPr>
      <w:r w:rsidRPr="00916695">
        <w:rPr>
          <w:rFonts w:ascii="Arial" w:eastAsia="Times New Roman" w:hAnsi="Arial" w:cs="Arial"/>
          <w:color w:val="132651"/>
          <w:sz w:val="23"/>
          <w:szCs w:val="23"/>
          <w:lang w:eastAsia="fr-FR"/>
        </w:rPr>
        <w:t>De même, des rappels de salaires ne sont pas davantage inclus dans le </w:t>
      </w:r>
      <w:r w:rsidRPr="00916695">
        <w:rPr>
          <w:rFonts w:ascii="Arial" w:eastAsia="Times New Roman" w:hAnsi="Arial" w:cs="Arial"/>
          <w:b/>
          <w:bCs/>
          <w:color w:val="132651"/>
          <w:sz w:val="23"/>
          <w:szCs w:val="23"/>
          <w:lang w:eastAsia="fr-FR"/>
        </w:rPr>
        <w:t>barème</w:t>
      </w:r>
      <w:r w:rsidRPr="00916695">
        <w:rPr>
          <w:rFonts w:ascii="Arial" w:eastAsia="Times New Roman" w:hAnsi="Arial" w:cs="Arial"/>
          <w:color w:val="132651"/>
          <w:sz w:val="23"/>
          <w:szCs w:val="23"/>
          <w:lang w:eastAsia="fr-FR"/>
        </w:rPr>
        <w:t>.</w:t>
      </w:r>
    </w:p>
    <w:p w:rsidR="00916695" w:rsidRDefault="00916695"/>
    <w:p w:rsidR="00916695" w:rsidRDefault="00916695"/>
    <w:p w:rsidR="00916695" w:rsidRDefault="00916695" w:rsidP="00916695">
      <w:pPr>
        <w:pStyle w:val="Titre1"/>
        <w:shd w:val="clear" w:color="auto" w:fill="FFFFFF"/>
        <w:spacing w:before="0"/>
        <w:textAlignment w:val="baseline"/>
        <w:rPr>
          <w:rFonts w:ascii="Open Sans" w:hAnsi="Open Sans" w:cs="Open Sans"/>
          <w:color w:val="E5623E"/>
        </w:rPr>
      </w:pPr>
      <w:r>
        <w:rPr>
          <w:rFonts w:ascii="Open Sans" w:hAnsi="Open Sans" w:cs="Open Sans"/>
          <w:color w:val="E5623E"/>
        </w:rPr>
        <w:t>Les préjudices découlant d'un manquement à l'obligation d'adaptation des salariés à leur poste de travail</w:t>
      </w:r>
    </w:p>
    <w:p w:rsidR="00916695" w:rsidRDefault="00916695"/>
    <w:p w:rsidR="00916695" w:rsidRPr="00916695" w:rsidRDefault="00916695" w:rsidP="00916695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inherit" w:eastAsia="Times New Roman" w:hAnsi="inherit" w:cs="Arial"/>
          <w:color w:val="00385D"/>
          <w:sz w:val="24"/>
          <w:szCs w:val="24"/>
          <w:lang w:eastAsia="fr-FR"/>
        </w:rPr>
      </w:pPr>
      <w:r w:rsidRPr="00916695">
        <w:rPr>
          <w:rFonts w:ascii="inherit" w:eastAsia="Times New Roman" w:hAnsi="inherit" w:cs="Arial"/>
          <w:b/>
          <w:bCs/>
          <w:color w:val="00385D"/>
          <w:sz w:val="24"/>
          <w:szCs w:val="24"/>
          <w:bdr w:val="none" w:sz="0" w:space="0" w:color="auto" w:frame="1"/>
          <w:lang w:eastAsia="fr-FR"/>
        </w:rPr>
        <w:t>Un préjudice lié à la naissance de l'obligation d'adaptation du salarié</w:t>
      </w:r>
    </w:p>
    <w:p w:rsidR="00916695" w:rsidRPr="00916695" w:rsidRDefault="00916695" w:rsidP="00916695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inherit" w:eastAsia="Times New Roman" w:hAnsi="inherit" w:cs="Arial"/>
          <w:color w:val="00385D"/>
          <w:sz w:val="24"/>
          <w:szCs w:val="24"/>
          <w:lang w:eastAsia="fr-FR"/>
        </w:rPr>
      </w:pPr>
      <w:r w:rsidRPr="00916695">
        <w:rPr>
          <w:rFonts w:ascii="inherit" w:eastAsia="Times New Roman" w:hAnsi="inherit" w:cs="Arial"/>
          <w:b/>
          <w:bCs/>
          <w:color w:val="00385D"/>
          <w:sz w:val="24"/>
          <w:szCs w:val="24"/>
          <w:bdr w:val="none" w:sz="0" w:space="0" w:color="auto" w:frame="1"/>
          <w:lang w:eastAsia="fr-FR"/>
        </w:rPr>
        <w:lastRenderedPageBreak/>
        <w:t>Le manquement à l'obligation d'adaptation</w:t>
      </w:r>
    </w:p>
    <w:p w:rsidR="00916695" w:rsidRDefault="00916695"/>
    <w:p w:rsidR="00916695" w:rsidRDefault="00916695" w:rsidP="00916695">
      <w:pPr>
        <w:pStyle w:val="Titre1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hd w:val="clear" w:color="auto" w:fill="F4F4F4"/>
        <w:jc w:val="center"/>
        <w:rPr>
          <w:rFonts w:ascii="Mont" w:hAnsi="Mont"/>
          <w:color w:val="00A79B"/>
        </w:rPr>
      </w:pPr>
      <w:r>
        <w:rPr>
          <w:rFonts w:ascii="Mont" w:hAnsi="Mont"/>
          <w:color w:val="00A79B"/>
        </w:rPr>
        <w:t>Entretien professionnel : jusqu’au 30 septembre 2021 pour organiser les bilans à 6 ans !</w:t>
      </w:r>
    </w:p>
    <w:p w:rsidR="00916695" w:rsidRDefault="00916695"/>
    <w:p w:rsidR="00916695" w:rsidRDefault="00916695">
      <w:r>
        <w:rPr>
          <w:noProof/>
          <w:lang w:eastAsia="fr-FR"/>
        </w:rPr>
        <w:drawing>
          <wp:inline distT="0" distB="0" distL="0" distR="0" wp14:anchorId="0BDFBDF2" wp14:editId="14EC8E88">
            <wp:extent cx="5760720" cy="188468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7A1" w:rsidRDefault="002467A1"/>
    <w:p w:rsidR="002467A1" w:rsidRDefault="002467A1">
      <w:pPr>
        <w:rPr>
          <w:rFonts w:ascii="Arial" w:hAnsi="Arial" w:cs="Arial"/>
          <w:color w:val="4A4A4A"/>
          <w:shd w:val="clear" w:color="auto" w:fill="FFFFFF"/>
        </w:rPr>
      </w:pPr>
      <w:r>
        <w:rPr>
          <w:rFonts w:ascii="Arial" w:hAnsi="Arial" w:cs="Arial"/>
          <w:color w:val="4A4A4A"/>
          <w:shd w:val="clear" w:color="auto" w:fill="FFFFFF"/>
        </w:rPr>
        <w:t>Depuis la loi du 5 mars 2014, chaque collaborateur doit bénéficier d’un entretien professionnel tous les 2 ans et d’un bilan de son parcours professionnel tous les 6 ans.</w:t>
      </w:r>
    </w:p>
    <w:p w:rsidR="002467A1" w:rsidRDefault="002467A1">
      <w:pPr>
        <w:rPr>
          <w:rFonts w:ascii="Arial" w:hAnsi="Arial" w:cs="Arial"/>
          <w:color w:val="4A4A4A"/>
          <w:shd w:val="clear" w:color="auto" w:fill="FFFFFF"/>
        </w:rPr>
      </w:pPr>
    </w:p>
    <w:p w:rsidR="002467A1" w:rsidRDefault="002467A1">
      <w:r>
        <w:rPr>
          <w:noProof/>
          <w:lang w:eastAsia="fr-FR"/>
        </w:rPr>
        <w:drawing>
          <wp:inline distT="0" distB="0" distL="0" distR="0" wp14:anchorId="3AAD2C7A" wp14:editId="5FF6118B">
            <wp:extent cx="5760720" cy="396811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BC6" w:rsidRDefault="000A2BC6"/>
    <w:p w:rsidR="000A2BC6" w:rsidRDefault="000A2BC6">
      <w:r>
        <w:rPr>
          <w:noProof/>
          <w:lang w:eastAsia="fr-FR"/>
        </w:rPr>
        <w:lastRenderedPageBreak/>
        <w:drawing>
          <wp:inline distT="0" distB="0" distL="0" distR="0" wp14:anchorId="7DDFB3D7" wp14:editId="12777025">
            <wp:extent cx="5760720" cy="14478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95" w:rsidRDefault="00916695"/>
    <w:p w:rsidR="001566C7" w:rsidRDefault="001566C7">
      <w:pPr>
        <w:rPr>
          <w:rFonts w:ascii="Arial" w:hAnsi="Arial" w:cs="Arial"/>
          <w:b/>
          <w:bCs/>
          <w:color w:val="202124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t>L’absence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 xml:space="preserve"> d'entretien professionnel pourrait être constitutive d'une faute pour l'employeur dans le cadre de l'exécution d'un contrat de travail</w:t>
      </w:r>
    </w:p>
    <w:p w:rsidR="001566C7" w:rsidRDefault="001566C7"/>
    <w:p w:rsidR="001566C7" w:rsidRDefault="001566C7">
      <w:r>
        <w:rPr>
          <w:noProof/>
          <w:lang w:eastAsia="fr-FR"/>
        </w:rPr>
        <w:drawing>
          <wp:inline distT="0" distB="0" distL="0" distR="0" wp14:anchorId="49EED6F7" wp14:editId="2A58D8BC">
            <wp:extent cx="5760720" cy="2353310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6C7" w:rsidRDefault="001566C7"/>
    <w:p w:rsidR="001566C7" w:rsidRDefault="001566C7">
      <w:pPr>
        <w:rPr>
          <w:rStyle w:val="lev"/>
          <w:rFonts w:ascii="Poppins" w:hAnsi="Poppins"/>
          <w:color w:val="000000"/>
          <w:sz w:val="27"/>
          <w:szCs w:val="27"/>
        </w:rPr>
      </w:pPr>
      <w:r>
        <w:rPr>
          <w:rFonts w:ascii="Poppins" w:hAnsi="Poppins"/>
          <w:color w:val="000000"/>
          <w:sz w:val="27"/>
          <w:szCs w:val="27"/>
        </w:rPr>
        <w:t>Par exemple, </w:t>
      </w:r>
      <w:r>
        <w:rPr>
          <w:rStyle w:val="lev"/>
          <w:rFonts w:ascii="Poppins" w:hAnsi="Poppins"/>
          <w:color w:val="000000"/>
          <w:sz w:val="27"/>
          <w:szCs w:val="27"/>
        </w:rPr>
        <w:t>l’employeur n’est pas de bonne foi lorsqu’il place un salarié dans l’impossibilité de travailler</w:t>
      </w:r>
    </w:p>
    <w:p w:rsidR="001566C7" w:rsidRDefault="001566C7">
      <w:pPr>
        <w:rPr>
          <w:rStyle w:val="lev"/>
          <w:rFonts w:ascii="Poppins" w:hAnsi="Poppins"/>
          <w:color w:val="000000"/>
          <w:sz w:val="27"/>
          <w:szCs w:val="27"/>
        </w:rPr>
      </w:pPr>
    </w:p>
    <w:p w:rsidR="001566C7" w:rsidRDefault="001566C7" w:rsidP="001566C7">
      <w:pPr>
        <w:pStyle w:val="NormalWeb"/>
        <w:rPr>
          <w:rFonts w:ascii="Poppins" w:hAnsi="Poppins"/>
          <w:color w:val="000000"/>
          <w:sz w:val="27"/>
          <w:szCs w:val="27"/>
        </w:rPr>
      </w:pPr>
      <w:r>
        <w:rPr>
          <w:rFonts w:ascii="Poppins" w:hAnsi="Poppins"/>
          <w:color w:val="000000"/>
          <w:sz w:val="27"/>
          <w:szCs w:val="27"/>
        </w:rPr>
        <w:t>L’employeur doit </w:t>
      </w:r>
      <w:hyperlink r:id="rId14" w:tooltip="Obligation de former le salarié à la charge de l&amp;#x27;employeur" w:history="1">
        <w:r>
          <w:rPr>
            <w:rStyle w:val="Lienhypertexte"/>
            <w:rFonts w:ascii="Poppins" w:hAnsi="Poppins"/>
            <w:sz w:val="27"/>
            <w:szCs w:val="27"/>
          </w:rPr>
          <w:t>veiller au maintien de la capacité des salariés</w:t>
        </w:r>
      </w:hyperlink>
      <w:r>
        <w:rPr>
          <w:rFonts w:ascii="Poppins" w:hAnsi="Poppins"/>
          <w:color w:val="000000"/>
          <w:sz w:val="27"/>
          <w:szCs w:val="27"/>
        </w:rPr>
        <w:t> à occuper son emploi, notamment, au regard de l’évolution des emplois, et des technologies.</w:t>
      </w:r>
      <w:r>
        <w:rPr>
          <w:rFonts w:ascii="Poppins" w:hAnsi="Poppins"/>
          <w:color w:val="000000"/>
          <w:sz w:val="27"/>
          <w:szCs w:val="27"/>
        </w:rPr>
        <w:br/>
        <w:t>L'employeur peut proposer au salarié des formations participant au développement de ses compétences.</w:t>
      </w:r>
    </w:p>
    <w:p w:rsidR="001566C7" w:rsidRDefault="001566C7" w:rsidP="001566C7">
      <w:pPr>
        <w:pStyle w:val="NormalWeb"/>
        <w:rPr>
          <w:rFonts w:ascii="Poppins" w:hAnsi="Poppins"/>
          <w:color w:val="000000"/>
          <w:sz w:val="27"/>
          <w:szCs w:val="27"/>
        </w:rPr>
      </w:pPr>
      <w:r>
        <w:rPr>
          <w:rFonts w:ascii="Poppins" w:hAnsi="Poppins"/>
          <w:color w:val="000000"/>
          <w:sz w:val="27"/>
          <w:szCs w:val="27"/>
        </w:rPr>
        <w:t>Si l’employeur manque à cette obligation, le salarié peut subir un préjudice, puisque ses compétences vont être obsolètes. Ce préjudice sera sanctionné par l’octroi de dommages et intérêts.</w:t>
      </w:r>
    </w:p>
    <w:p w:rsidR="001566C7" w:rsidRDefault="001566C7">
      <w:r>
        <w:t xml:space="preserve">Versement </w:t>
      </w:r>
      <w:proofErr w:type="spellStart"/>
      <w:r>
        <w:t>obligatoie</w:t>
      </w:r>
      <w:proofErr w:type="spellEnd"/>
      <w:r>
        <w:t xml:space="preserve"> sur CPF : 31 mars 2022 ???</w:t>
      </w:r>
    </w:p>
    <w:p w:rsidR="00AA7DB9" w:rsidRDefault="00AA7DB9"/>
    <w:p w:rsidR="00AA7DB9" w:rsidRDefault="00AA7DB9">
      <w:r>
        <w:rPr>
          <w:noProof/>
          <w:lang w:eastAsia="fr-FR"/>
        </w:rPr>
        <w:lastRenderedPageBreak/>
        <w:drawing>
          <wp:inline distT="0" distB="0" distL="0" distR="0" wp14:anchorId="14B421E1" wp14:editId="226990DB">
            <wp:extent cx="5760720" cy="54102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064" w:rsidRDefault="00E62064"/>
    <w:p w:rsidR="00E62064" w:rsidRDefault="00E62064">
      <w:r>
        <w:rPr>
          <w:noProof/>
          <w:lang w:eastAsia="fr-FR"/>
        </w:rPr>
        <w:drawing>
          <wp:inline distT="0" distB="0" distL="0" distR="0" wp14:anchorId="35D4A776" wp14:editId="1C271C5E">
            <wp:extent cx="5760720" cy="5629910"/>
            <wp:effectExtent l="0" t="0" r="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064" w:rsidRDefault="00E62064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l’examen de ces décisions, il ressort que pour la Cour de cassation, l’entretien professionnel fait partie intégrante des obligations de formation pesant sur l’employeur.</w:t>
      </w:r>
    </w:p>
    <w:p w:rsidR="00E62064" w:rsidRDefault="00E62064">
      <w:pPr>
        <w:rPr>
          <w:rFonts w:ascii="Arial" w:hAnsi="Arial" w:cs="Arial"/>
          <w:color w:val="000000"/>
        </w:rPr>
      </w:pPr>
    </w:p>
    <w:p w:rsidR="00E62064" w:rsidRDefault="00E62064">
      <w:r>
        <w:rPr>
          <w:noProof/>
          <w:lang w:eastAsia="fr-FR"/>
        </w:rPr>
        <w:lastRenderedPageBreak/>
        <w:drawing>
          <wp:inline distT="0" distB="0" distL="0" distR="0" wp14:anchorId="7E5EB9DA" wp14:editId="50496B8A">
            <wp:extent cx="5760720" cy="189039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064" w:rsidRDefault="00E62064"/>
    <w:p w:rsidR="00E62064" w:rsidRDefault="00E62064">
      <w:r>
        <w:rPr>
          <w:noProof/>
          <w:lang w:eastAsia="fr-FR"/>
        </w:rPr>
        <w:drawing>
          <wp:inline distT="0" distB="0" distL="0" distR="0" wp14:anchorId="220C34A0" wp14:editId="4E4A5567">
            <wp:extent cx="5760720" cy="137985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064" w:rsidRDefault="00E62064"/>
    <w:p w:rsidR="00E62064" w:rsidRDefault="00E62064">
      <w:r>
        <w:rPr>
          <w:noProof/>
          <w:lang w:eastAsia="fr-FR"/>
        </w:rPr>
        <w:drawing>
          <wp:inline distT="0" distB="0" distL="0" distR="0" wp14:anchorId="0966B8EC" wp14:editId="10CC5059">
            <wp:extent cx="5760720" cy="2874645"/>
            <wp:effectExtent l="0" t="0" r="0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064" w:rsidRDefault="00E62064"/>
    <w:p w:rsidR="00E62064" w:rsidRDefault="00E62064" w:rsidP="00E62064">
      <w:pPr>
        <w:pStyle w:val="rtecenter"/>
        <w:shd w:val="clear" w:color="auto" w:fill="FFFFFF"/>
        <w:spacing w:before="150" w:beforeAutospacing="0" w:after="150" w:afterAutospacing="0"/>
        <w:rPr>
          <w:rFonts w:ascii="Arial" w:hAnsi="Arial" w:cs="Arial"/>
          <w:color w:val="25282D"/>
          <w:sz w:val="21"/>
          <w:szCs w:val="21"/>
        </w:rPr>
      </w:pPr>
      <w:r>
        <w:rPr>
          <w:rStyle w:val="lev"/>
          <w:rFonts w:ascii="Arial" w:hAnsi="Arial" w:cs="Arial"/>
          <w:color w:val="25282D"/>
          <w:sz w:val="27"/>
          <w:szCs w:val="27"/>
        </w:rPr>
        <w:t>Pas besoin d’évolution du poste, ni de demande du salarié</w:t>
      </w:r>
    </w:p>
    <w:p w:rsidR="00E62064" w:rsidRDefault="00E62064" w:rsidP="00E62064">
      <w:pPr>
        <w:pStyle w:val="rtejustify"/>
        <w:shd w:val="clear" w:color="auto" w:fill="FFFFFF"/>
        <w:spacing w:before="150" w:beforeAutospacing="0" w:after="150" w:afterAutospacing="0"/>
        <w:rPr>
          <w:rFonts w:ascii="Arial" w:hAnsi="Arial" w:cs="Arial"/>
          <w:color w:val="25282D"/>
          <w:sz w:val="21"/>
          <w:szCs w:val="21"/>
        </w:rPr>
      </w:pPr>
      <w:r>
        <w:rPr>
          <w:rFonts w:ascii="Arial" w:hAnsi="Arial" w:cs="Arial"/>
          <w:color w:val="25282D"/>
          <w:sz w:val="21"/>
          <w:szCs w:val="21"/>
        </w:rPr>
        <w:t>Les arguments invoqués par l’employeur ont été, à plusieurs reprises, rejeté par la Cour de cassation qui a expliqué que l'absence d'évolution du poste du salarié n'est pas un motif suffisant pour justifier l'absence de formation (</w:t>
      </w:r>
      <w:proofErr w:type="spellStart"/>
      <w:r>
        <w:rPr>
          <w:rFonts w:ascii="Arial" w:hAnsi="Arial" w:cs="Arial"/>
          <w:color w:val="25282D"/>
          <w:sz w:val="21"/>
          <w:szCs w:val="21"/>
        </w:rPr>
        <w:t>Cass</w:t>
      </w:r>
      <w:proofErr w:type="spellEnd"/>
      <w:r>
        <w:rPr>
          <w:rFonts w:ascii="Arial" w:hAnsi="Arial" w:cs="Arial"/>
          <w:color w:val="25282D"/>
          <w:sz w:val="21"/>
          <w:szCs w:val="21"/>
        </w:rPr>
        <w:t xml:space="preserve">. </w:t>
      </w:r>
      <w:proofErr w:type="gramStart"/>
      <w:r>
        <w:rPr>
          <w:rFonts w:ascii="Arial" w:hAnsi="Arial" w:cs="Arial"/>
          <w:color w:val="25282D"/>
          <w:sz w:val="21"/>
          <w:szCs w:val="21"/>
        </w:rPr>
        <w:t>soc.,</w:t>
      </w:r>
      <w:proofErr w:type="gramEnd"/>
      <w:r>
        <w:rPr>
          <w:rFonts w:ascii="Arial" w:hAnsi="Arial" w:cs="Arial"/>
          <w:color w:val="25282D"/>
          <w:sz w:val="21"/>
          <w:szCs w:val="21"/>
        </w:rPr>
        <w:t xml:space="preserve"> 5 juin 2013, n° 11-21.255 et </w:t>
      </w:r>
      <w:proofErr w:type="spellStart"/>
      <w:r>
        <w:rPr>
          <w:rFonts w:ascii="Arial" w:hAnsi="Arial" w:cs="Arial"/>
          <w:color w:val="25282D"/>
          <w:sz w:val="21"/>
          <w:szCs w:val="21"/>
        </w:rPr>
        <w:t>Cass</w:t>
      </w:r>
      <w:proofErr w:type="spellEnd"/>
      <w:r>
        <w:rPr>
          <w:rFonts w:ascii="Arial" w:hAnsi="Arial" w:cs="Arial"/>
          <w:color w:val="25282D"/>
          <w:sz w:val="21"/>
          <w:szCs w:val="21"/>
        </w:rPr>
        <w:t>. soc., 28 sept. 2011, n° 09-43.339). </w:t>
      </w:r>
    </w:p>
    <w:p w:rsidR="00E62064" w:rsidRDefault="00E62064" w:rsidP="00E62064">
      <w:pPr>
        <w:pStyle w:val="rtejustify"/>
        <w:shd w:val="clear" w:color="auto" w:fill="FFFFFF"/>
        <w:spacing w:before="150" w:beforeAutospacing="0" w:after="150" w:afterAutospacing="0"/>
        <w:rPr>
          <w:rFonts w:ascii="Arial" w:hAnsi="Arial" w:cs="Arial"/>
          <w:color w:val="25282D"/>
          <w:sz w:val="21"/>
          <w:szCs w:val="21"/>
        </w:rPr>
      </w:pPr>
      <w:r>
        <w:rPr>
          <w:rFonts w:ascii="Arial" w:hAnsi="Arial" w:cs="Arial"/>
          <w:color w:val="25282D"/>
          <w:sz w:val="21"/>
          <w:szCs w:val="21"/>
        </w:rPr>
        <w:t>La Cour de cassation a également souligné que « pour obtenir des dommages et intérêts pour défaut de formation, le salarié licencié n'a pas à justifier d'avoir mis en demeure la société de lui délivrer une formation, ni du refus de cette dernière » (</w:t>
      </w:r>
      <w:proofErr w:type="spellStart"/>
      <w:r>
        <w:rPr>
          <w:rFonts w:ascii="Arial" w:hAnsi="Arial" w:cs="Arial"/>
          <w:color w:val="25282D"/>
          <w:sz w:val="21"/>
          <w:szCs w:val="21"/>
        </w:rPr>
        <w:t>Cass</w:t>
      </w:r>
      <w:proofErr w:type="spellEnd"/>
      <w:r>
        <w:rPr>
          <w:rFonts w:ascii="Arial" w:hAnsi="Arial" w:cs="Arial"/>
          <w:color w:val="25282D"/>
          <w:sz w:val="21"/>
          <w:szCs w:val="21"/>
        </w:rPr>
        <w:t xml:space="preserve">. </w:t>
      </w:r>
      <w:proofErr w:type="gramStart"/>
      <w:r>
        <w:rPr>
          <w:rFonts w:ascii="Arial" w:hAnsi="Arial" w:cs="Arial"/>
          <w:color w:val="25282D"/>
          <w:sz w:val="21"/>
          <w:szCs w:val="21"/>
        </w:rPr>
        <w:t>soc.,</w:t>
      </w:r>
      <w:proofErr w:type="gramEnd"/>
      <w:r>
        <w:rPr>
          <w:rFonts w:ascii="Arial" w:hAnsi="Arial" w:cs="Arial"/>
          <w:color w:val="25282D"/>
          <w:sz w:val="21"/>
          <w:szCs w:val="21"/>
        </w:rPr>
        <w:t xml:space="preserve"> 5 oct. 2011, n° 08-42.909).</w:t>
      </w:r>
    </w:p>
    <w:p w:rsidR="00E62064" w:rsidRDefault="00E62064" w:rsidP="00E62064">
      <w:pPr>
        <w:pStyle w:val="rtejustify"/>
        <w:shd w:val="clear" w:color="auto" w:fill="FFFFFF"/>
        <w:spacing w:before="150" w:beforeAutospacing="0" w:after="150" w:afterAutospacing="0"/>
        <w:rPr>
          <w:rFonts w:ascii="Arial" w:hAnsi="Arial" w:cs="Arial"/>
          <w:color w:val="25282D"/>
          <w:sz w:val="21"/>
          <w:szCs w:val="21"/>
        </w:rPr>
      </w:pPr>
      <w:r>
        <w:rPr>
          <w:rFonts w:ascii="Arial" w:hAnsi="Arial" w:cs="Arial"/>
          <w:color w:val="25282D"/>
          <w:sz w:val="21"/>
          <w:szCs w:val="21"/>
        </w:rPr>
        <w:lastRenderedPageBreak/>
        <w:t>Ainsi, le fait qu'un salarié ne demande pas à bénéficier de formations ne libère pas l'employeur de son obligation de veiller au maintien de son employabilité. C’est à l’employeur de proposer des formations à ses salariés sans attendre que ces derniers en fassent la demande (</w:t>
      </w:r>
      <w:proofErr w:type="spellStart"/>
      <w:r>
        <w:rPr>
          <w:rFonts w:ascii="Arial" w:hAnsi="Arial" w:cs="Arial"/>
          <w:color w:val="25282D"/>
          <w:sz w:val="21"/>
          <w:szCs w:val="21"/>
        </w:rPr>
        <w:t>Cass</w:t>
      </w:r>
      <w:proofErr w:type="spellEnd"/>
      <w:r>
        <w:rPr>
          <w:rFonts w:ascii="Arial" w:hAnsi="Arial" w:cs="Arial"/>
          <w:color w:val="25282D"/>
          <w:sz w:val="21"/>
          <w:szCs w:val="21"/>
        </w:rPr>
        <w:t>. soc. n° 15.19-811, 12 oct. 2016).</w:t>
      </w:r>
    </w:p>
    <w:p w:rsidR="00E62064" w:rsidRDefault="00E62064" w:rsidP="00E62064">
      <w:pPr>
        <w:pStyle w:val="rtejustify"/>
        <w:shd w:val="clear" w:color="auto" w:fill="FFFFFF"/>
        <w:spacing w:before="150" w:beforeAutospacing="0" w:after="150" w:afterAutospacing="0"/>
        <w:rPr>
          <w:rFonts w:ascii="Arial" w:hAnsi="Arial" w:cs="Arial"/>
          <w:color w:val="25282D"/>
          <w:sz w:val="21"/>
          <w:szCs w:val="21"/>
        </w:rPr>
      </w:pPr>
      <w:r>
        <w:rPr>
          <w:rFonts w:ascii="Arial" w:hAnsi="Arial" w:cs="Arial"/>
          <w:color w:val="25282D"/>
          <w:sz w:val="21"/>
          <w:szCs w:val="21"/>
        </w:rPr>
        <w:t>C’est également à l’employeur de démontrer qu’il a rempli ses obligations en matière de formation de ses salariés. Il ne peut invoquer le silence du salarié ou son inertie (</w:t>
      </w:r>
      <w:proofErr w:type="spellStart"/>
      <w:r>
        <w:rPr>
          <w:rFonts w:ascii="Arial" w:hAnsi="Arial" w:cs="Arial"/>
          <w:color w:val="25282D"/>
          <w:sz w:val="21"/>
          <w:szCs w:val="21"/>
        </w:rPr>
        <w:t>Cass</w:t>
      </w:r>
      <w:proofErr w:type="spellEnd"/>
      <w:r>
        <w:rPr>
          <w:rFonts w:ascii="Arial" w:hAnsi="Arial" w:cs="Arial"/>
          <w:color w:val="25282D"/>
          <w:sz w:val="21"/>
          <w:szCs w:val="21"/>
        </w:rPr>
        <w:t>. Soc., 13 juin 2019, n° 17-31.295).</w:t>
      </w:r>
    </w:p>
    <w:p w:rsidR="00E62064" w:rsidRDefault="00E62064"/>
    <w:p w:rsidR="00FA7088" w:rsidRDefault="00FA7088">
      <w:hyperlink r:id="rId20" w:history="1">
        <w:r w:rsidRPr="004667C4">
          <w:rPr>
            <w:rStyle w:val="Lienhypertexte"/>
          </w:rPr>
          <w:t>https://www.legisocial.fr/jurisprudences-sociales/1085-defaut-formation-ouvrir-droit-paiement-dommages-interets-salarie.html</w:t>
        </w:r>
      </w:hyperlink>
    </w:p>
    <w:p w:rsidR="00FA7088" w:rsidRDefault="00FA7088"/>
    <w:p w:rsidR="00FA7088" w:rsidRDefault="00FA7088">
      <w:r>
        <w:rPr>
          <w:noProof/>
          <w:lang w:eastAsia="fr-FR"/>
        </w:rPr>
        <w:drawing>
          <wp:inline distT="0" distB="0" distL="0" distR="0" wp14:anchorId="204FFBF7" wp14:editId="4928F0EB">
            <wp:extent cx="4790476" cy="1104762"/>
            <wp:effectExtent l="0" t="0" r="0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088" w:rsidRDefault="00FA7088"/>
    <w:p w:rsidR="00FA7088" w:rsidRDefault="00FA7088" w:rsidP="00FA7088">
      <w:pPr>
        <w:pStyle w:val="NormalWeb"/>
        <w:spacing w:before="0" w:beforeAutospacing="0" w:after="343" w:afterAutospacing="0"/>
        <w:jc w:val="both"/>
        <w:rPr>
          <w:rFonts w:ascii="Helvetica" w:hAnsi="Helvetica"/>
          <w:color w:val="3D3D3D"/>
        </w:rPr>
      </w:pPr>
      <w:proofErr w:type="spellStart"/>
      <w:r>
        <w:rPr>
          <w:rFonts w:ascii="Helvetica" w:hAnsi="Helvetica"/>
          <w:color w:val="3D3D3D"/>
        </w:rPr>
        <w:t>Cass</w:t>
      </w:r>
      <w:proofErr w:type="spellEnd"/>
      <w:r>
        <w:rPr>
          <w:rFonts w:ascii="Helvetica" w:hAnsi="Helvetica"/>
          <w:color w:val="3D3D3D"/>
        </w:rPr>
        <w:t xml:space="preserve">. </w:t>
      </w:r>
      <w:proofErr w:type="gramStart"/>
      <w:r>
        <w:rPr>
          <w:rFonts w:ascii="Helvetica" w:hAnsi="Helvetica"/>
          <w:color w:val="3D3D3D"/>
        </w:rPr>
        <w:t>soc.,</w:t>
      </w:r>
      <w:proofErr w:type="gramEnd"/>
      <w:r>
        <w:rPr>
          <w:rFonts w:ascii="Helvetica" w:hAnsi="Helvetica"/>
          <w:color w:val="3D3D3D"/>
        </w:rPr>
        <w:t xml:space="preserve"> 3 mai 2018, n°16-26.796</w:t>
      </w:r>
    </w:p>
    <w:p w:rsidR="00FA7088" w:rsidRDefault="00FA7088" w:rsidP="00FA7088">
      <w:pPr>
        <w:pStyle w:val="NormalWeb"/>
        <w:spacing w:before="0" w:beforeAutospacing="0" w:after="0" w:afterAutospacing="0"/>
        <w:jc w:val="both"/>
        <w:rPr>
          <w:rFonts w:ascii="Helvetica" w:hAnsi="Helvetica"/>
          <w:color w:val="3D3D3D"/>
        </w:rPr>
      </w:pPr>
      <w:r>
        <w:rPr>
          <w:rFonts w:ascii="Helvetica" w:hAnsi="Helvetica"/>
          <w:color w:val="3D3D3D"/>
        </w:rPr>
        <w:t>Lorsque l’employeur manque à son obligation de formation et n’assure pas l’employabilité d’un salarié, c’est à ce dernier qu’il appartient de rapporter la preuve de l’existence d’un préjudice. A défaut, il sera débouté de sa demande de dommages et intérêts quand bien même le manquement de l’employeur serait reconnu par les juges du fond.</w:t>
      </w:r>
    </w:p>
    <w:p w:rsidR="00FA7088" w:rsidRDefault="00FA7088"/>
    <w:p w:rsidR="00FA7088" w:rsidRDefault="00FA7088">
      <w:pPr>
        <w:rPr>
          <w:rFonts w:ascii="Arial" w:hAnsi="Arial" w:cs="Arial"/>
          <w:color w:val="737373"/>
          <w:spacing w:val="2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color w:val="737373"/>
          <w:spacing w:val="2"/>
          <w:sz w:val="21"/>
          <w:szCs w:val="21"/>
          <w:shd w:val="clear" w:color="auto" w:fill="FFFFFF"/>
        </w:rPr>
        <w:t>si</w:t>
      </w:r>
      <w:proofErr w:type="gramEnd"/>
      <w:r>
        <w:rPr>
          <w:rFonts w:ascii="Arial" w:hAnsi="Arial" w:cs="Arial"/>
          <w:color w:val="737373"/>
          <w:spacing w:val="2"/>
          <w:sz w:val="21"/>
          <w:szCs w:val="21"/>
          <w:shd w:val="clear" w:color="auto" w:fill="FFFFFF"/>
        </w:rPr>
        <w:t xml:space="preserve"> l’employeur a l’obligation d’assurer l’adaptation des salariés à leur poste de travail et de veiller au maintien de leur capacité à occuper un emploi (…)  le salarié ne précise pas en quoi l’employeur aurait manqué à cette obligation et quelles formations lui auraient été nécessaires dans sa fonction</w:t>
      </w:r>
    </w:p>
    <w:p w:rsidR="00FA7088" w:rsidRDefault="00FA7088">
      <w:pPr>
        <w:rPr>
          <w:rFonts w:ascii="Arial" w:hAnsi="Arial" w:cs="Arial"/>
          <w:color w:val="737373"/>
          <w:spacing w:val="2"/>
          <w:sz w:val="21"/>
          <w:szCs w:val="21"/>
          <w:shd w:val="clear" w:color="auto" w:fill="FFFFFF"/>
        </w:rPr>
      </w:pPr>
    </w:p>
    <w:p w:rsidR="00142FA8" w:rsidRDefault="00142FA8">
      <w:r>
        <w:rPr>
          <w:noProof/>
          <w:lang w:eastAsia="fr-FR"/>
        </w:rPr>
        <w:lastRenderedPageBreak/>
        <w:drawing>
          <wp:inline distT="0" distB="0" distL="0" distR="0" wp14:anchorId="432050A4" wp14:editId="4E66EF17">
            <wp:extent cx="5760720" cy="345503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A8" w:rsidRDefault="00142FA8">
      <w:bookmarkStart w:id="0" w:name="_GoBack"/>
      <w:bookmarkEnd w:id="0"/>
    </w:p>
    <w:p w:rsidR="00142FA8" w:rsidRDefault="00142FA8" w:rsidP="00142FA8">
      <w:pPr>
        <w:pStyle w:val="Titre2"/>
        <w:shd w:val="clear" w:color="auto" w:fill="FFFFFF"/>
        <w:spacing w:before="0" w:beforeAutospacing="0" w:after="0" w:afterAutospacing="0" w:line="585" w:lineRule="atLeast"/>
        <w:rPr>
          <w:rFonts w:ascii="Poppins" w:hAnsi="Poppins"/>
          <w:sz w:val="42"/>
          <w:szCs w:val="42"/>
        </w:rPr>
      </w:pPr>
      <w:r>
        <w:rPr>
          <w:rFonts w:ascii="Poppins" w:hAnsi="Poppins"/>
          <w:sz w:val="42"/>
          <w:szCs w:val="42"/>
        </w:rPr>
        <w:t>Contexte et définition de la perte de chance</w:t>
      </w:r>
    </w:p>
    <w:p w:rsidR="00142FA8" w:rsidRDefault="00142FA8" w:rsidP="00142FA8">
      <w:pPr>
        <w:pStyle w:val="NormalWeb"/>
        <w:shd w:val="clear" w:color="auto" w:fill="FFFFFF"/>
        <w:spacing w:before="0" w:beforeAutospacing="0" w:after="0" w:afterAutospacing="0" w:line="420" w:lineRule="atLeast"/>
        <w:rPr>
          <w:rFonts w:ascii="Open Sans" w:hAnsi="Open Sans" w:cs="Open Sans"/>
          <w:color w:val="333333"/>
          <w:sz w:val="27"/>
          <w:szCs w:val="27"/>
        </w:rPr>
      </w:pPr>
      <w:r>
        <w:rPr>
          <w:rFonts w:ascii="Open Sans" w:hAnsi="Open Sans" w:cs="Open Sans"/>
          <w:color w:val="333333"/>
          <w:sz w:val="27"/>
          <w:szCs w:val="27"/>
        </w:rPr>
        <w:t>Pour être réparable, un préjudice doit présenter plusieurs caractères dont celui de </w:t>
      </w:r>
      <w:r>
        <w:rPr>
          <w:rStyle w:val="lev"/>
          <w:rFonts w:ascii="Open Sans" w:hAnsi="Open Sans" w:cs="Open Sans"/>
          <w:color w:val="333333"/>
          <w:sz w:val="27"/>
          <w:szCs w:val="27"/>
        </w:rPr>
        <w:t>certitude</w:t>
      </w:r>
      <w:r>
        <w:rPr>
          <w:rFonts w:ascii="Open Sans" w:hAnsi="Open Sans" w:cs="Open Sans"/>
          <w:color w:val="333333"/>
          <w:sz w:val="27"/>
          <w:szCs w:val="27"/>
        </w:rPr>
        <w:t>. En d’autres termes, une victime ne peut obtenir la réparation de son préjudice que si ce dernier est </w:t>
      </w:r>
      <w:r>
        <w:rPr>
          <w:rStyle w:val="lev"/>
          <w:rFonts w:ascii="Open Sans" w:hAnsi="Open Sans" w:cs="Open Sans"/>
          <w:color w:val="333333"/>
          <w:sz w:val="27"/>
          <w:szCs w:val="27"/>
        </w:rPr>
        <w:t>certain.</w:t>
      </w:r>
    </w:p>
    <w:p w:rsidR="00142FA8" w:rsidRDefault="00142FA8"/>
    <w:sectPr w:rsidR="00142F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ont">
    <w:altName w:val="Times New Roman"/>
    <w:panose1 w:val="00000000000000000000"/>
    <w:charset w:val="00"/>
    <w:family w:val="roman"/>
    <w:notTrueType/>
    <w:pitch w:val="default"/>
  </w:font>
  <w:font w:name="Poppi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205A8"/>
    <w:multiLevelType w:val="multilevel"/>
    <w:tmpl w:val="4EF8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AE5C94"/>
    <w:multiLevelType w:val="multilevel"/>
    <w:tmpl w:val="E7042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511"/>
    <w:rsid w:val="000A2BC6"/>
    <w:rsid w:val="00142FA8"/>
    <w:rsid w:val="001566C7"/>
    <w:rsid w:val="002467A1"/>
    <w:rsid w:val="00280627"/>
    <w:rsid w:val="004F5511"/>
    <w:rsid w:val="006A5B6C"/>
    <w:rsid w:val="00916695"/>
    <w:rsid w:val="009F7E04"/>
    <w:rsid w:val="00AA7DB9"/>
    <w:rsid w:val="00C20815"/>
    <w:rsid w:val="00E62064"/>
    <w:rsid w:val="00FA7088"/>
    <w:rsid w:val="00FB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009D5B-A3EB-4EA3-A9AC-19150EEED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166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9166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FB05B0"/>
    <w:rPr>
      <w:i/>
      <w:iCs/>
    </w:rPr>
  </w:style>
  <w:style w:type="character" w:styleId="Lienhypertexte">
    <w:name w:val="Hyperlink"/>
    <w:basedOn w:val="Policepardfaut"/>
    <w:uiPriority w:val="99"/>
    <w:unhideWhenUsed/>
    <w:rsid w:val="00FB05B0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91669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916695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916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156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rtecenter">
    <w:name w:val="rtecenter"/>
    <w:basedOn w:val="Normal"/>
    <w:rsid w:val="00E62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rtejustify">
    <w:name w:val="rtejustify"/>
    <w:basedOn w:val="Normal"/>
    <w:rsid w:val="00E62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legisocial.fr/jurisprudences-sociales/1085-defaut-formation-ouvrir-droit-paiement-dommages-interets-salarie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vocats-toulouse.com/fr/actualites-du-barreau/chronique-juridique/chronique-ce-mal-croissant-de-lemployeur-appele-edct#:~:text=EDCT%20ou%20l'ex%C3%A9cution%20d%C3%A9loyale,foi%20du%20contrat%20de%20travail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coindusalarie.fr/obligation-formation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860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6</cp:revision>
  <dcterms:created xsi:type="dcterms:W3CDTF">2023-04-07T08:07:00Z</dcterms:created>
  <dcterms:modified xsi:type="dcterms:W3CDTF">2023-04-07T10:07:00Z</dcterms:modified>
</cp:coreProperties>
</file>