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34" w:rsidRPr="003F47BC" w:rsidRDefault="00747834" w:rsidP="00747834">
      <w:pPr>
        <w:rPr>
          <w:rStyle w:val="lev"/>
          <w:rFonts w:cstheme="minorHAnsi"/>
          <w:b w:val="0"/>
          <w:sz w:val="20"/>
          <w:szCs w:val="20"/>
        </w:rPr>
      </w:pPr>
      <w:r w:rsidRPr="003F47BC">
        <w:rPr>
          <w:rStyle w:val="lev"/>
          <w:rFonts w:cstheme="minorHAnsi"/>
          <w:sz w:val="20"/>
          <w:szCs w:val="20"/>
        </w:rPr>
        <w:t>//////////////////////////////////////</w:t>
      </w:r>
      <w:r>
        <w:rPr>
          <w:rStyle w:val="lev"/>
          <w:rFonts w:cstheme="minorHAnsi"/>
          <w:sz w:val="20"/>
          <w:szCs w:val="20"/>
        </w:rPr>
        <w:t xml:space="preserve">     PRIME      </w:t>
      </w:r>
      <w:r w:rsidRPr="003F47BC">
        <w:rPr>
          <w:rStyle w:val="lev"/>
          <w:rFonts w:cstheme="minorHAnsi"/>
          <w:sz w:val="20"/>
          <w:szCs w:val="20"/>
        </w:rPr>
        <w:t>////////////</w:t>
      </w:r>
      <w:r>
        <w:rPr>
          <w:rStyle w:val="lev"/>
          <w:rFonts w:cstheme="minorHAnsi"/>
          <w:sz w:val="20"/>
          <w:szCs w:val="20"/>
        </w:rPr>
        <w:t>///////////////////////////////////////</w:t>
      </w:r>
    </w:p>
    <w:p w:rsidR="00747834" w:rsidRPr="003F47BC" w:rsidRDefault="00747834" w:rsidP="00747834">
      <w:pPr>
        <w:rPr>
          <w:rFonts w:cstheme="minorHAnsi"/>
          <w:sz w:val="20"/>
          <w:szCs w:val="20"/>
        </w:rPr>
      </w:pPr>
      <w:r w:rsidRPr="003F47BC">
        <w:rPr>
          <w:rFonts w:cstheme="minorHAnsi"/>
          <w:sz w:val="20"/>
          <w:szCs w:val="20"/>
        </w:rPr>
        <w:t xml:space="preserve">Problème de la prime </w:t>
      </w:r>
      <w:proofErr w:type="spellStart"/>
      <w:r w:rsidRPr="003F47BC">
        <w:rPr>
          <w:rFonts w:cstheme="minorHAnsi"/>
          <w:sz w:val="20"/>
          <w:szCs w:val="20"/>
        </w:rPr>
        <w:t>Oncentive</w:t>
      </w:r>
      <w:proofErr w:type="spellEnd"/>
      <w:r>
        <w:rPr>
          <w:rFonts w:cstheme="minorHAnsi"/>
          <w:sz w:val="20"/>
          <w:szCs w:val="20"/>
        </w:rPr>
        <w:t xml:space="preserve"> (document en annexe)</w:t>
      </w:r>
    </w:p>
    <w:p w:rsidR="00747834" w:rsidRPr="003F47BC" w:rsidRDefault="00747834" w:rsidP="00747834">
      <w:pPr>
        <w:rPr>
          <w:rFonts w:cstheme="minorHAnsi"/>
          <w:sz w:val="20"/>
          <w:szCs w:val="20"/>
        </w:rPr>
      </w:pPr>
      <w:r w:rsidRPr="003F47BC">
        <w:rPr>
          <w:rFonts w:cstheme="minorHAnsi"/>
          <w:sz w:val="20"/>
          <w:szCs w:val="20"/>
        </w:rPr>
        <w:t xml:space="preserve">Seul </w:t>
      </w:r>
      <w:proofErr w:type="gramStart"/>
      <w:r w:rsidRPr="003F47BC">
        <w:rPr>
          <w:rFonts w:cstheme="minorHAnsi"/>
          <w:sz w:val="20"/>
          <w:szCs w:val="20"/>
        </w:rPr>
        <w:t>les grades</w:t>
      </w:r>
      <w:proofErr w:type="gramEnd"/>
      <w:r w:rsidRPr="003F47BC">
        <w:rPr>
          <w:rFonts w:cstheme="minorHAnsi"/>
          <w:sz w:val="20"/>
          <w:szCs w:val="20"/>
        </w:rPr>
        <w:t xml:space="preserve"> 12 la perçoive, l’avantage acquis persiste pour tous les autres grades </w:t>
      </w:r>
    </w:p>
    <w:p w:rsidR="00747834" w:rsidRPr="003F47BC" w:rsidRDefault="00747834" w:rsidP="00747834">
      <w:pPr>
        <w:rPr>
          <w:rFonts w:cstheme="minorHAnsi"/>
          <w:sz w:val="20"/>
          <w:szCs w:val="20"/>
        </w:rPr>
      </w:pPr>
      <w:r w:rsidRPr="003F47BC">
        <w:rPr>
          <w:rFonts w:cstheme="minorHAnsi"/>
          <w:sz w:val="20"/>
          <w:szCs w:val="20"/>
        </w:rPr>
        <w:t xml:space="preserve">Les nouveaux qui n’ont pas ce  grade ne sont pas éligible, moi je suis </w:t>
      </w:r>
      <w:proofErr w:type="gramStart"/>
      <w:r w:rsidRPr="003F47BC">
        <w:rPr>
          <w:rFonts w:cstheme="minorHAnsi"/>
          <w:sz w:val="20"/>
          <w:szCs w:val="20"/>
        </w:rPr>
        <w:t>11  :</w:t>
      </w:r>
      <w:proofErr w:type="gramEnd"/>
      <w:r w:rsidRPr="003F47BC">
        <w:rPr>
          <w:rFonts w:cstheme="minorHAnsi"/>
          <w:sz w:val="20"/>
          <w:szCs w:val="20"/>
        </w:rPr>
        <w:t xml:space="preserve"> discrimination</w:t>
      </w:r>
    </w:p>
    <w:p w:rsidR="00747834" w:rsidRPr="003F47BC" w:rsidRDefault="00747834" w:rsidP="00747834">
      <w:pPr>
        <w:rPr>
          <w:rFonts w:cstheme="minorHAnsi"/>
          <w:sz w:val="20"/>
          <w:szCs w:val="20"/>
        </w:rPr>
      </w:pPr>
      <w:r w:rsidRPr="003F47BC">
        <w:rPr>
          <w:rFonts w:cstheme="minorHAnsi"/>
          <w:sz w:val="20"/>
          <w:szCs w:val="20"/>
        </w:rPr>
        <w:t>Loi : «  à travail égal rémunération égale »   ce n’est pas une prime d’ancienneté !!</w:t>
      </w:r>
    </w:p>
    <w:p w:rsidR="00747834" w:rsidRPr="003F47BC" w:rsidRDefault="00747834" w:rsidP="00747834">
      <w:pPr>
        <w:rPr>
          <w:rFonts w:cstheme="minorHAnsi"/>
          <w:sz w:val="20"/>
          <w:szCs w:val="20"/>
        </w:rPr>
      </w:pPr>
      <w:r w:rsidRPr="003F47BC">
        <w:rPr>
          <w:rFonts w:cstheme="minorHAnsi"/>
          <w:sz w:val="20"/>
          <w:szCs w:val="20"/>
        </w:rPr>
        <w:t>Remonter à mon manager ; pas de nouvelles à ce jours</w:t>
      </w:r>
    </w:p>
    <w:p w:rsidR="00747834" w:rsidRDefault="00747834" w:rsidP="00747834">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Le principe « à travail égal, salaire égal », selon lequel l'employeur est tenu à une égalité des rémunérations pour l’ensemble des salariés placés dans une même situation, a été posé pour la première fois dans un arrêt de principe de la chambre sociale de la Cour de cassation en date du 29 octobre 1996 (</w:t>
      </w:r>
      <w:proofErr w:type="spellStart"/>
      <w:r w:rsidRPr="003F47BC">
        <w:rPr>
          <w:rFonts w:eastAsia="Times New Roman" w:cstheme="minorHAnsi"/>
          <w:i/>
          <w:iCs/>
          <w:sz w:val="20"/>
          <w:szCs w:val="20"/>
          <w:lang w:eastAsia="fr-FR"/>
        </w:rPr>
        <w:t>Cass</w:t>
      </w:r>
      <w:proofErr w:type="spellEnd"/>
      <w:r w:rsidRPr="003F47BC">
        <w:rPr>
          <w:rFonts w:eastAsia="Times New Roman" w:cstheme="minorHAnsi"/>
          <w:i/>
          <w:iCs/>
          <w:sz w:val="20"/>
          <w:szCs w:val="20"/>
          <w:lang w:eastAsia="fr-FR"/>
        </w:rPr>
        <w:t>. soc. 29 octobre 1996, n</w:t>
      </w:r>
      <w:r w:rsidRPr="003F47BC">
        <w:rPr>
          <w:rFonts w:eastAsia="Times New Roman" w:cstheme="minorHAnsi"/>
          <w:i/>
          <w:iCs/>
          <w:sz w:val="20"/>
          <w:szCs w:val="20"/>
          <w:vertAlign w:val="superscript"/>
          <w:lang w:eastAsia="fr-FR"/>
        </w:rPr>
        <w:t xml:space="preserve">o </w:t>
      </w:r>
      <w:r w:rsidRPr="003F47BC">
        <w:rPr>
          <w:rFonts w:eastAsia="Times New Roman" w:cstheme="minorHAnsi"/>
          <w:i/>
          <w:iCs/>
          <w:sz w:val="20"/>
          <w:szCs w:val="20"/>
          <w:lang w:eastAsia="fr-FR"/>
        </w:rPr>
        <w:t xml:space="preserve">92-43.680, Sté </w:t>
      </w:r>
      <w:proofErr w:type="spellStart"/>
      <w:r w:rsidRPr="003F47BC">
        <w:rPr>
          <w:rFonts w:eastAsia="Times New Roman" w:cstheme="minorHAnsi"/>
          <w:i/>
          <w:iCs/>
          <w:sz w:val="20"/>
          <w:szCs w:val="20"/>
          <w:lang w:eastAsia="fr-FR"/>
        </w:rPr>
        <w:t>Delzongle</w:t>
      </w:r>
      <w:proofErr w:type="spellEnd"/>
      <w:r w:rsidRPr="003F47BC">
        <w:rPr>
          <w:rFonts w:eastAsia="Times New Roman" w:cstheme="minorHAnsi"/>
          <w:i/>
          <w:iCs/>
          <w:sz w:val="20"/>
          <w:szCs w:val="20"/>
          <w:lang w:eastAsia="fr-FR"/>
        </w:rPr>
        <w:t xml:space="preserve"> c/ </w:t>
      </w:r>
      <w:proofErr w:type="spellStart"/>
      <w:r w:rsidRPr="003F47BC">
        <w:rPr>
          <w:rFonts w:eastAsia="Times New Roman" w:cstheme="minorHAnsi"/>
          <w:i/>
          <w:iCs/>
          <w:sz w:val="20"/>
          <w:szCs w:val="20"/>
          <w:lang w:eastAsia="fr-FR"/>
        </w:rPr>
        <w:t>Ponsolle</w:t>
      </w:r>
      <w:proofErr w:type="spellEnd"/>
      <w:r w:rsidRPr="003F47BC">
        <w:rPr>
          <w:rFonts w:eastAsia="Times New Roman" w:cstheme="minorHAnsi"/>
          <w:sz w:val="20"/>
          <w:szCs w:val="20"/>
          <w:lang w:eastAsia="fr-FR"/>
        </w:rPr>
        <w:t>).</w:t>
      </w:r>
    </w:p>
    <w:p w:rsidR="007576A1" w:rsidRPr="003F47BC" w:rsidRDefault="007576A1" w:rsidP="007576A1">
      <w:pPr>
        <w:rPr>
          <w:rFonts w:cstheme="minorHAnsi"/>
          <w:sz w:val="20"/>
          <w:szCs w:val="20"/>
        </w:rPr>
      </w:pPr>
      <w:r>
        <w:rPr>
          <w:rFonts w:cstheme="minorHAnsi"/>
          <w:sz w:val="20"/>
          <w:szCs w:val="20"/>
        </w:rPr>
        <w:t>L</w:t>
      </w:r>
      <w:r w:rsidRPr="003F47BC">
        <w:rPr>
          <w:rFonts w:cstheme="minorHAnsi"/>
          <w:sz w:val="20"/>
          <w:szCs w:val="20"/>
        </w:rPr>
        <w:t>a Cour de Cassation a pu juger qu’« </w:t>
      </w:r>
      <w:r w:rsidRPr="003F47BC">
        <w:rPr>
          <w:rStyle w:val="Accentuation"/>
          <w:rFonts w:cstheme="minorHAnsi"/>
          <w:sz w:val="20"/>
          <w:szCs w:val="20"/>
        </w:rPr>
        <w:t xml:space="preserve">au regard du respect du principe à travail égal, salaire égal, la seule circonstance que les salariés aient été engagés avant ou après l'entrée en vigueur d'un accord collectif ne saurait suffire à justifier des différences de traitement entre eux. » </w:t>
      </w:r>
      <w:r w:rsidRPr="003F47BC">
        <w:rPr>
          <w:rFonts w:cstheme="minorHAnsi"/>
          <w:sz w:val="20"/>
          <w:szCs w:val="20"/>
        </w:rPr>
        <w:t>(</w:t>
      </w:r>
      <w:proofErr w:type="spellStart"/>
      <w:r w:rsidRPr="003F47BC">
        <w:rPr>
          <w:rStyle w:val="Accentuation"/>
          <w:rFonts w:cstheme="minorHAnsi"/>
          <w:sz w:val="20"/>
          <w:szCs w:val="20"/>
        </w:rPr>
        <w:t>Cass</w:t>
      </w:r>
      <w:proofErr w:type="spellEnd"/>
      <w:r w:rsidRPr="003F47BC">
        <w:rPr>
          <w:rStyle w:val="Accentuation"/>
          <w:rFonts w:cstheme="minorHAnsi"/>
          <w:sz w:val="20"/>
          <w:szCs w:val="20"/>
        </w:rPr>
        <w:t>. Soc., 21 février 2007, n</w:t>
      </w:r>
      <w:r w:rsidRPr="003F47BC">
        <w:rPr>
          <w:rStyle w:val="Accentuation"/>
          <w:rFonts w:cstheme="minorHAnsi"/>
          <w:sz w:val="20"/>
          <w:szCs w:val="20"/>
          <w:vertAlign w:val="superscript"/>
        </w:rPr>
        <w:t xml:space="preserve">o </w:t>
      </w:r>
      <w:r w:rsidRPr="003F47BC">
        <w:rPr>
          <w:rStyle w:val="Accentuation"/>
          <w:rFonts w:cstheme="minorHAnsi"/>
          <w:sz w:val="20"/>
          <w:szCs w:val="20"/>
        </w:rPr>
        <w:t>05-43.136</w:t>
      </w:r>
      <w:r w:rsidRPr="003F47BC">
        <w:rPr>
          <w:rFonts w:cstheme="minorHAnsi"/>
          <w:sz w:val="20"/>
          <w:szCs w:val="20"/>
        </w:rPr>
        <w:t>)</w:t>
      </w:r>
      <w:r w:rsidRPr="003F47BC">
        <w:rPr>
          <w:rStyle w:val="Accentuation"/>
          <w:rFonts w:cstheme="minorHAnsi"/>
          <w:sz w:val="20"/>
          <w:szCs w:val="20"/>
        </w:rPr>
        <w:t>.</w:t>
      </w:r>
    </w:p>
    <w:p w:rsidR="007576A1" w:rsidRDefault="00885C13" w:rsidP="00747834">
      <w:pPr>
        <w:spacing w:before="100" w:beforeAutospacing="1" w:after="100" w:afterAutospacing="1" w:line="240" w:lineRule="auto"/>
        <w:jc w:val="both"/>
      </w:pPr>
      <w:r>
        <w:t xml:space="preserve">Un arrêt </w:t>
      </w:r>
      <w:r>
        <w:t xml:space="preserve">de a cour de </w:t>
      </w:r>
      <w:proofErr w:type="spellStart"/>
      <w:r>
        <w:t>Cassatin</w:t>
      </w:r>
      <w:proofErr w:type="spellEnd"/>
      <w:r>
        <w:t xml:space="preserve"> </w:t>
      </w:r>
      <w:r>
        <w:t xml:space="preserve">du 21 </w:t>
      </w:r>
      <w:r>
        <w:rPr>
          <w:rStyle w:val="spipsurligne"/>
        </w:rPr>
        <w:t>février</w:t>
      </w:r>
      <w:r>
        <w:t xml:space="preserve"> </w:t>
      </w:r>
      <w:r>
        <w:rPr>
          <w:rStyle w:val="spipsurligne"/>
        </w:rPr>
        <w:t>2007</w:t>
      </w:r>
      <w:r>
        <w:t xml:space="preserve"> (</w:t>
      </w:r>
      <w:r>
        <w:rPr>
          <w:rStyle w:val="Accentuation"/>
        </w:rPr>
        <w:t>Bull</w:t>
      </w:r>
      <w:r>
        <w:t xml:space="preserve">. </w:t>
      </w:r>
      <w:r>
        <w:rPr>
          <w:rStyle w:val="spipsurligne"/>
        </w:rPr>
        <w:t>2007</w:t>
      </w:r>
      <w:r>
        <w:t>, V, n° 27, pourvoi n° </w:t>
      </w:r>
      <w:r>
        <w:rPr>
          <w:rStyle w:val="spipsurligne"/>
        </w:rPr>
        <w:t>05-43.136</w:t>
      </w:r>
      <w:r>
        <w:t>) a souligné « qu’au regard du respect du principe à travail égal, salaire égal, la seule circonstance que les salariés aient été engagés avant ou après l’entrée en vigueur d’un accord collectif ne saurait suffire à justifier des différences de traitement entre eux, pour autant que cet accord collectif n’a pas pour objet de compenser un préjudice subi par les salariés présents dans l’entreprise lors de son entrée en vigueur ».</w:t>
      </w:r>
    </w:p>
    <w:p w:rsidR="004F4253" w:rsidRDefault="004F4253" w:rsidP="00747834">
      <w:pPr>
        <w:spacing w:before="100" w:beforeAutospacing="1" w:after="100" w:afterAutospacing="1" w:line="240" w:lineRule="auto"/>
        <w:jc w:val="both"/>
      </w:pPr>
    </w:p>
    <w:p w:rsidR="004F4253" w:rsidRDefault="004F4253" w:rsidP="004F4253">
      <w:pPr>
        <w:autoSpaceDE w:val="0"/>
        <w:autoSpaceDN w:val="0"/>
        <w:adjustRightInd w:val="0"/>
        <w:spacing w:after="0" w:line="240" w:lineRule="auto"/>
        <w:rPr>
          <w:rFonts w:ascii="TTE25323C0t00" w:hAnsi="TTE25323C0t00" w:cs="TTE25323C0t00"/>
          <w:sz w:val="20"/>
          <w:szCs w:val="20"/>
        </w:rPr>
      </w:pPr>
      <w:r>
        <w:rPr>
          <w:rFonts w:ascii="TTE25323C0t00" w:hAnsi="TTE25323C0t00" w:cs="TTE25323C0t00"/>
          <w:sz w:val="20"/>
          <w:szCs w:val="20"/>
        </w:rPr>
        <w:t>« A travail égal, salaire égal », l’employeur ne peut</w:t>
      </w:r>
    </w:p>
    <w:p w:rsidR="004F4253" w:rsidRDefault="004F4253" w:rsidP="004F4253">
      <w:pPr>
        <w:autoSpaceDE w:val="0"/>
        <w:autoSpaceDN w:val="0"/>
        <w:adjustRightInd w:val="0"/>
        <w:spacing w:after="0" w:line="240" w:lineRule="auto"/>
        <w:rPr>
          <w:rFonts w:ascii="TTE25323C0t00" w:hAnsi="TTE25323C0t00" w:cs="TTE25323C0t00"/>
          <w:sz w:val="20"/>
          <w:szCs w:val="20"/>
        </w:rPr>
      </w:pPr>
      <w:proofErr w:type="gramStart"/>
      <w:r>
        <w:rPr>
          <w:rFonts w:ascii="TTE25323C0t00" w:hAnsi="TTE25323C0t00" w:cs="TTE25323C0t00"/>
          <w:sz w:val="20"/>
          <w:szCs w:val="20"/>
        </w:rPr>
        <w:t>justifier</w:t>
      </w:r>
      <w:proofErr w:type="gramEnd"/>
      <w:r>
        <w:rPr>
          <w:rFonts w:ascii="TTE25323C0t00" w:hAnsi="TTE25323C0t00" w:cs="TTE25323C0t00"/>
          <w:sz w:val="20"/>
          <w:szCs w:val="20"/>
        </w:rPr>
        <w:t xml:space="preserve"> une différence de traitement en invoquant</w:t>
      </w:r>
    </w:p>
    <w:p w:rsidR="004F4253" w:rsidRDefault="004F4253" w:rsidP="004F4253">
      <w:pPr>
        <w:autoSpaceDE w:val="0"/>
        <w:autoSpaceDN w:val="0"/>
        <w:adjustRightInd w:val="0"/>
        <w:spacing w:after="0" w:line="240" w:lineRule="auto"/>
        <w:rPr>
          <w:rFonts w:ascii="TTE25323C0t00" w:hAnsi="TTE25323C0t00" w:cs="TTE25323C0t00"/>
          <w:sz w:val="20"/>
          <w:szCs w:val="20"/>
        </w:rPr>
      </w:pPr>
      <w:proofErr w:type="gramStart"/>
      <w:r>
        <w:rPr>
          <w:rFonts w:ascii="TTE25323C0t00" w:hAnsi="TTE25323C0t00" w:cs="TTE25323C0t00"/>
          <w:sz w:val="20"/>
          <w:szCs w:val="20"/>
        </w:rPr>
        <w:t>la</w:t>
      </w:r>
      <w:proofErr w:type="gramEnd"/>
      <w:r>
        <w:rPr>
          <w:rFonts w:ascii="TTE25323C0t00" w:hAnsi="TTE25323C0t00" w:cs="TTE25323C0t00"/>
          <w:sz w:val="20"/>
          <w:szCs w:val="20"/>
        </w:rPr>
        <w:t xml:space="preserve"> date d’entrée en vigueur d’une convention</w:t>
      </w:r>
    </w:p>
    <w:p w:rsidR="004F4253" w:rsidRDefault="004F4253" w:rsidP="004F4253">
      <w:pPr>
        <w:autoSpaceDE w:val="0"/>
        <w:autoSpaceDN w:val="0"/>
        <w:adjustRightInd w:val="0"/>
        <w:spacing w:after="0" w:line="240" w:lineRule="auto"/>
        <w:rPr>
          <w:rFonts w:ascii="TTE25323C0t00" w:hAnsi="TTE25323C0t00" w:cs="TTE25323C0t00"/>
          <w:sz w:val="20"/>
          <w:szCs w:val="20"/>
        </w:rPr>
      </w:pPr>
      <w:proofErr w:type="gramStart"/>
      <w:r>
        <w:rPr>
          <w:rFonts w:ascii="TTE25323C0t00" w:hAnsi="TTE25323C0t00" w:cs="TTE25323C0t00"/>
          <w:sz w:val="20"/>
          <w:szCs w:val="20"/>
        </w:rPr>
        <w:t>collective</w:t>
      </w:r>
      <w:proofErr w:type="gramEnd"/>
      <w:r>
        <w:rPr>
          <w:rFonts w:ascii="TTE25323C0t00" w:hAnsi="TTE25323C0t00" w:cs="TTE25323C0t00"/>
          <w:sz w:val="20"/>
          <w:szCs w:val="20"/>
        </w:rPr>
        <w:t>.</w:t>
      </w:r>
    </w:p>
    <w:p w:rsidR="004F4253" w:rsidRDefault="004F4253" w:rsidP="004F4253">
      <w:pPr>
        <w:autoSpaceDE w:val="0"/>
        <w:autoSpaceDN w:val="0"/>
        <w:adjustRightInd w:val="0"/>
        <w:spacing w:after="0" w:line="240" w:lineRule="auto"/>
        <w:rPr>
          <w:rFonts w:ascii="TTE1725F20t00" w:hAnsi="TTE1725F20t00" w:cs="TTE1725F20t00"/>
          <w:sz w:val="20"/>
          <w:szCs w:val="20"/>
        </w:rPr>
      </w:pPr>
      <w:r>
        <w:rPr>
          <w:rFonts w:ascii="TTE1725F20t00" w:hAnsi="TTE1725F20t00" w:cs="TTE1725F20t00"/>
          <w:sz w:val="20"/>
          <w:szCs w:val="20"/>
        </w:rPr>
        <w:t>(</w:t>
      </w:r>
      <w:proofErr w:type="spellStart"/>
      <w:r>
        <w:rPr>
          <w:rFonts w:ascii="TTE1725F20t00" w:hAnsi="TTE1725F20t00" w:cs="TTE1725F20t00"/>
          <w:sz w:val="20"/>
          <w:szCs w:val="20"/>
        </w:rPr>
        <w:t>Cass</w:t>
      </w:r>
      <w:proofErr w:type="spellEnd"/>
      <w:r>
        <w:rPr>
          <w:rFonts w:ascii="TTE1725F20t00" w:hAnsi="TTE1725F20t00" w:cs="TTE1725F20t00"/>
          <w:sz w:val="20"/>
          <w:szCs w:val="20"/>
        </w:rPr>
        <w:t xml:space="preserve">., </w:t>
      </w:r>
      <w:proofErr w:type="gramStart"/>
      <w:r>
        <w:rPr>
          <w:rFonts w:ascii="TTE1725F20t00" w:hAnsi="TTE1725F20t00" w:cs="TTE1725F20t00"/>
          <w:sz w:val="20"/>
          <w:szCs w:val="20"/>
        </w:rPr>
        <w:t>soc.,</w:t>
      </w:r>
      <w:proofErr w:type="gramEnd"/>
      <w:r>
        <w:rPr>
          <w:rFonts w:ascii="TTE1725F20t00" w:hAnsi="TTE1725F20t00" w:cs="TTE1725F20t00"/>
          <w:sz w:val="20"/>
          <w:szCs w:val="20"/>
        </w:rPr>
        <w:t xml:space="preserve"> 21 février 2007, n°05-43.136 FS-PB, IRSAM les</w:t>
      </w:r>
    </w:p>
    <w:p w:rsidR="004F4253" w:rsidRDefault="004F4253" w:rsidP="004F4253">
      <w:pPr>
        <w:autoSpaceDE w:val="0"/>
        <w:autoSpaceDN w:val="0"/>
        <w:adjustRightInd w:val="0"/>
        <w:spacing w:after="0" w:line="240" w:lineRule="auto"/>
        <w:rPr>
          <w:rFonts w:ascii="TTE1725F20t00" w:hAnsi="TTE1725F20t00" w:cs="TTE1725F20t00"/>
          <w:sz w:val="20"/>
          <w:szCs w:val="20"/>
        </w:rPr>
      </w:pPr>
      <w:proofErr w:type="gramStart"/>
      <w:r>
        <w:rPr>
          <w:rFonts w:ascii="TTE1725F20t00" w:hAnsi="TTE1725F20t00" w:cs="TTE1725F20t00"/>
          <w:sz w:val="20"/>
          <w:szCs w:val="20"/>
        </w:rPr>
        <w:t>hirondelles</w:t>
      </w:r>
      <w:proofErr w:type="gramEnd"/>
      <w:r>
        <w:rPr>
          <w:rFonts w:ascii="TTE1725F20t00" w:hAnsi="TTE1725F20t00" w:cs="TTE1725F20t00"/>
          <w:sz w:val="20"/>
          <w:szCs w:val="20"/>
        </w:rPr>
        <w:t xml:space="preserve"> c/ </w:t>
      </w:r>
      <w:proofErr w:type="spellStart"/>
      <w:r>
        <w:rPr>
          <w:rFonts w:ascii="TTE1725F20t00" w:hAnsi="TTE1725F20t00" w:cs="TTE1725F20t00"/>
          <w:sz w:val="20"/>
          <w:szCs w:val="20"/>
        </w:rPr>
        <w:t>Chabalier</w:t>
      </w:r>
      <w:proofErr w:type="spellEnd"/>
      <w:r>
        <w:rPr>
          <w:rFonts w:ascii="TTE1725F20t00" w:hAnsi="TTE1725F20t00" w:cs="TTE1725F20t00"/>
          <w:sz w:val="20"/>
          <w:szCs w:val="20"/>
        </w:rPr>
        <w:t>)</w:t>
      </w:r>
    </w:p>
    <w:p w:rsidR="004F4253" w:rsidRDefault="004F4253" w:rsidP="004F4253">
      <w:pPr>
        <w:autoSpaceDE w:val="0"/>
        <w:autoSpaceDN w:val="0"/>
        <w:adjustRightInd w:val="0"/>
        <w:spacing w:after="0" w:line="240" w:lineRule="auto"/>
        <w:rPr>
          <w:rFonts w:ascii="TTE1722F48t00" w:hAnsi="TTE1722F48t00" w:cs="TTE1722F48t00"/>
          <w:sz w:val="20"/>
          <w:szCs w:val="20"/>
        </w:rPr>
      </w:pPr>
      <w:r>
        <w:rPr>
          <w:rFonts w:ascii="TTE1722F48t00" w:hAnsi="TTE1722F48t00" w:cs="TTE1722F48t00"/>
          <w:sz w:val="20"/>
          <w:szCs w:val="20"/>
        </w:rPr>
        <w:t>Principe sollicité et source d’un contentieux en plein essor, « à</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travail</w:t>
      </w:r>
      <w:proofErr w:type="gramEnd"/>
      <w:r>
        <w:rPr>
          <w:rFonts w:ascii="TTE1722F48t00" w:hAnsi="TTE1722F48t00" w:cs="TTE1722F48t00"/>
          <w:sz w:val="20"/>
          <w:szCs w:val="20"/>
        </w:rPr>
        <w:t xml:space="preserve"> égal, salaire égal » a été au </w:t>
      </w:r>
      <w:proofErr w:type="spellStart"/>
      <w:r>
        <w:rPr>
          <w:rFonts w:ascii="TTE1722F48t00" w:hAnsi="TTE1722F48t00" w:cs="TTE1722F48t00"/>
          <w:sz w:val="20"/>
          <w:szCs w:val="20"/>
        </w:rPr>
        <w:t>coeur</w:t>
      </w:r>
      <w:proofErr w:type="spellEnd"/>
      <w:r>
        <w:rPr>
          <w:rFonts w:ascii="TTE1722F48t00" w:hAnsi="TTE1722F48t00" w:cs="TTE1722F48t00"/>
          <w:sz w:val="20"/>
          <w:szCs w:val="20"/>
        </w:rPr>
        <w:t xml:space="preserve"> de nombreux arrêts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marquants</w:t>
      </w:r>
      <w:proofErr w:type="gramEnd"/>
      <w:r>
        <w:rPr>
          <w:rFonts w:ascii="TTE1722F48t00" w:hAnsi="TTE1722F48t00" w:cs="TTE1722F48t00"/>
          <w:sz w:val="20"/>
          <w:szCs w:val="20"/>
        </w:rPr>
        <w:t xml:space="preserve"> en 2006. Dans un arrêt en date du 21 février 2007,</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la</w:t>
      </w:r>
      <w:proofErr w:type="gramEnd"/>
      <w:r>
        <w:rPr>
          <w:rFonts w:ascii="TTE1722F48t00" w:hAnsi="TTE1722F48t00" w:cs="TTE1722F48t00"/>
          <w:sz w:val="20"/>
          <w:szCs w:val="20"/>
        </w:rPr>
        <w:t xml:space="preserve"> Cour de cassation tranche par une position de principe la</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question</w:t>
      </w:r>
      <w:proofErr w:type="gramEnd"/>
      <w:r>
        <w:rPr>
          <w:rFonts w:ascii="TTE1722F48t00" w:hAnsi="TTE1722F48t00" w:cs="TTE1722F48t00"/>
          <w:sz w:val="20"/>
          <w:szCs w:val="20"/>
        </w:rPr>
        <w:t xml:space="preserve"> de savoir si les salariés peuvent être payés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différemment</w:t>
      </w:r>
      <w:proofErr w:type="gramEnd"/>
      <w:r>
        <w:rPr>
          <w:rFonts w:ascii="TTE1722F48t00" w:hAnsi="TTE1722F48t00" w:cs="TTE1722F48t00"/>
          <w:sz w:val="20"/>
          <w:szCs w:val="20"/>
        </w:rPr>
        <w:t xml:space="preserve"> selon qu’ils aient été embauchés avant ou après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l’entrée</w:t>
      </w:r>
      <w:proofErr w:type="gramEnd"/>
      <w:r>
        <w:rPr>
          <w:rFonts w:ascii="TTE1722F48t00" w:hAnsi="TTE1722F48t00" w:cs="TTE1722F48t00"/>
          <w:sz w:val="20"/>
          <w:szCs w:val="20"/>
        </w:rPr>
        <w:t xml:space="preserve"> en vigueur d’un accord collectif.</w:t>
      </w:r>
    </w:p>
    <w:p w:rsidR="004F4253" w:rsidRDefault="004F4253" w:rsidP="004F4253">
      <w:pPr>
        <w:autoSpaceDE w:val="0"/>
        <w:autoSpaceDN w:val="0"/>
        <w:adjustRightInd w:val="0"/>
        <w:spacing w:after="0" w:line="240" w:lineRule="auto"/>
        <w:rPr>
          <w:rFonts w:ascii="TTE1722F48t00" w:hAnsi="TTE1722F48t00" w:cs="TTE1722F48t00"/>
          <w:sz w:val="20"/>
          <w:szCs w:val="20"/>
        </w:rPr>
      </w:pPr>
      <w:r>
        <w:rPr>
          <w:rFonts w:ascii="TTE1722F48t00" w:hAnsi="TTE1722F48t00" w:cs="TTE1722F48t00"/>
          <w:sz w:val="20"/>
          <w:szCs w:val="20"/>
        </w:rPr>
        <w:t>En l’espèce, une salariée a poursuivi son employeur au motif</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qu’elle</w:t>
      </w:r>
      <w:proofErr w:type="gramEnd"/>
      <w:r>
        <w:rPr>
          <w:rFonts w:ascii="TTE1722F48t00" w:hAnsi="TTE1722F48t00" w:cs="TTE1722F48t00"/>
          <w:sz w:val="20"/>
          <w:szCs w:val="20"/>
        </w:rPr>
        <w:t xml:space="preserve"> percevait une rémunération inférieure à celle de ses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collègues</w:t>
      </w:r>
      <w:proofErr w:type="gramEnd"/>
      <w:r>
        <w:rPr>
          <w:rFonts w:ascii="TTE1722F48t00" w:hAnsi="TTE1722F48t00" w:cs="TTE1722F48t00"/>
          <w:sz w:val="20"/>
          <w:szCs w:val="20"/>
        </w:rPr>
        <w:t>, embauchés après l’entrée en vigueur d’un avenant à</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la</w:t>
      </w:r>
      <w:proofErr w:type="gramEnd"/>
      <w:r>
        <w:rPr>
          <w:rFonts w:ascii="TTE1722F48t00" w:hAnsi="TTE1722F48t00" w:cs="TTE1722F48t00"/>
          <w:sz w:val="20"/>
          <w:szCs w:val="20"/>
        </w:rPr>
        <w:t xml:space="preserve"> convention collective applicable en violation du principe « à</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travail</w:t>
      </w:r>
      <w:proofErr w:type="gramEnd"/>
      <w:r>
        <w:rPr>
          <w:rFonts w:ascii="TTE1722F48t00" w:hAnsi="TTE1722F48t00" w:cs="TTE1722F48t00"/>
          <w:sz w:val="20"/>
          <w:szCs w:val="20"/>
        </w:rPr>
        <w:t xml:space="preserve"> égal, salaire égal ».</w:t>
      </w:r>
    </w:p>
    <w:p w:rsidR="004F4253" w:rsidRDefault="004F4253" w:rsidP="004F4253">
      <w:pPr>
        <w:autoSpaceDE w:val="0"/>
        <w:autoSpaceDN w:val="0"/>
        <w:adjustRightInd w:val="0"/>
        <w:spacing w:after="0" w:line="240" w:lineRule="auto"/>
        <w:rPr>
          <w:rFonts w:ascii="TTE1722F48t00" w:hAnsi="TTE1722F48t00" w:cs="TTE1722F48t00"/>
          <w:sz w:val="20"/>
          <w:szCs w:val="20"/>
        </w:rPr>
      </w:pPr>
      <w:r>
        <w:rPr>
          <w:rFonts w:ascii="TTE1722F48t00" w:hAnsi="TTE1722F48t00" w:cs="TTE1722F48t00"/>
          <w:sz w:val="20"/>
          <w:szCs w:val="20"/>
        </w:rPr>
        <w:t>L’employeur a tenté de faire valoir que cette différence de</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traitement</w:t>
      </w:r>
      <w:proofErr w:type="gramEnd"/>
      <w:r>
        <w:rPr>
          <w:rFonts w:ascii="TTE1722F48t00" w:hAnsi="TTE1722F48t00" w:cs="TTE1722F48t00"/>
          <w:sz w:val="20"/>
          <w:szCs w:val="20"/>
        </w:rPr>
        <w:t xml:space="preserve"> au détriment des salariés déjà présents dans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l’entreprise</w:t>
      </w:r>
      <w:proofErr w:type="gramEnd"/>
      <w:r>
        <w:rPr>
          <w:rFonts w:ascii="TTE1722F48t00" w:hAnsi="TTE1722F48t00" w:cs="TTE1722F48t00"/>
          <w:sz w:val="20"/>
          <w:szCs w:val="20"/>
        </w:rPr>
        <w:t xml:space="preserve"> résultait de l’application pure et simple de la</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convention</w:t>
      </w:r>
      <w:proofErr w:type="gramEnd"/>
      <w:r>
        <w:rPr>
          <w:rFonts w:ascii="TTE1722F48t00" w:hAnsi="TTE1722F48t00" w:cs="TTE1722F48t00"/>
          <w:sz w:val="20"/>
          <w:szCs w:val="20"/>
        </w:rPr>
        <w:t xml:space="preserve"> collective, issue d’une négociation avec les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organisations</w:t>
      </w:r>
      <w:proofErr w:type="gramEnd"/>
      <w:r>
        <w:rPr>
          <w:rFonts w:ascii="TTE1722F48t00" w:hAnsi="TTE1722F48t00" w:cs="TTE1722F48t00"/>
          <w:sz w:val="20"/>
          <w:szCs w:val="20"/>
        </w:rPr>
        <w:t xml:space="preserve"> compétentes de salariés et d’employeurs,</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imposant</w:t>
      </w:r>
      <w:proofErr w:type="gramEnd"/>
      <w:r>
        <w:rPr>
          <w:rFonts w:ascii="TTE1722F48t00" w:hAnsi="TTE1722F48t00" w:cs="TTE1722F48t00"/>
          <w:sz w:val="20"/>
          <w:szCs w:val="20"/>
        </w:rPr>
        <w:t xml:space="preserve"> à l’employeur des règles prédéfinies ainsi que leur</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date</w:t>
      </w:r>
      <w:proofErr w:type="gramEnd"/>
      <w:r>
        <w:rPr>
          <w:rFonts w:ascii="TTE1722F48t00" w:hAnsi="TTE1722F48t00" w:cs="TTE1722F48t00"/>
          <w:sz w:val="20"/>
          <w:szCs w:val="20"/>
        </w:rPr>
        <w:t xml:space="preserve"> de prise d’effet.</w:t>
      </w:r>
    </w:p>
    <w:p w:rsidR="004F4253" w:rsidRDefault="004F4253" w:rsidP="004F4253">
      <w:pPr>
        <w:autoSpaceDE w:val="0"/>
        <w:autoSpaceDN w:val="0"/>
        <w:adjustRightInd w:val="0"/>
        <w:spacing w:after="0" w:line="240" w:lineRule="auto"/>
        <w:rPr>
          <w:rFonts w:ascii="TTE1722F48t00" w:hAnsi="TTE1722F48t00" w:cs="TTE1722F48t00"/>
          <w:sz w:val="20"/>
          <w:szCs w:val="20"/>
        </w:rPr>
      </w:pPr>
      <w:r>
        <w:rPr>
          <w:rFonts w:ascii="TTE1722F48t00" w:hAnsi="TTE1722F48t00" w:cs="TTE1722F48t00"/>
          <w:sz w:val="20"/>
          <w:szCs w:val="20"/>
        </w:rPr>
        <w:t>La Cour rejette cette argumentation et rappelle que</w:t>
      </w:r>
    </w:p>
    <w:p w:rsidR="004F4253" w:rsidRDefault="004F4253" w:rsidP="004F4253">
      <w:pPr>
        <w:autoSpaceDE w:val="0"/>
        <w:autoSpaceDN w:val="0"/>
        <w:adjustRightInd w:val="0"/>
        <w:spacing w:after="0" w:line="240" w:lineRule="auto"/>
        <w:rPr>
          <w:rFonts w:ascii="TTE25323C0t00" w:hAnsi="TTE25323C0t00" w:cs="TTE25323C0t00"/>
          <w:sz w:val="20"/>
          <w:szCs w:val="20"/>
        </w:rPr>
      </w:pPr>
      <w:proofErr w:type="gramStart"/>
      <w:r>
        <w:rPr>
          <w:rFonts w:ascii="TTE1722F48t00" w:hAnsi="TTE1722F48t00" w:cs="TTE1722F48t00"/>
          <w:sz w:val="20"/>
          <w:szCs w:val="20"/>
        </w:rPr>
        <w:t>l’employeur</w:t>
      </w:r>
      <w:proofErr w:type="gramEnd"/>
      <w:r>
        <w:rPr>
          <w:rFonts w:ascii="TTE1722F48t00" w:hAnsi="TTE1722F48t00" w:cs="TTE1722F48t00"/>
          <w:sz w:val="20"/>
          <w:szCs w:val="20"/>
        </w:rPr>
        <w:t xml:space="preserve"> </w:t>
      </w:r>
      <w:r>
        <w:rPr>
          <w:rFonts w:ascii="TTE25323C0t00" w:hAnsi="TTE25323C0t00" w:cs="TTE25323C0t00"/>
          <w:sz w:val="20"/>
          <w:szCs w:val="20"/>
        </w:rPr>
        <w:t xml:space="preserve">ne peut </w:t>
      </w:r>
      <w:r>
        <w:rPr>
          <w:rFonts w:ascii="TTE1722F48t00" w:hAnsi="TTE1722F48t00" w:cs="TTE1722F48t00"/>
          <w:sz w:val="20"/>
          <w:szCs w:val="20"/>
        </w:rPr>
        <w:t xml:space="preserve">en principe </w:t>
      </w:r>
      <w:r>
        <w:rPr>
          <w:rFonts w:ascii="TTE25323C0t00" w:hAnsi="TTE25323C0t00" w:cs="TTE25323C0t00"/>
          <w:sz w:val="20"/>
          <w:szCs w:val="20"/>
        </w:rPr>
        <w:t>rémunérer différemment</w:t>
      </w:r>
    </w:p>
    <w:p w:rsidR="004F4253" w:rsidRDefault="004F4253" w:rsidP="004F4253">
      <w:pPr>
        <w:autoSpaceDE w:val="0"/>
        <w:autoSpaceDN w:val="0"/>
        <w:adjustRightInd w:val="0"/>
        <w:spacing w:after="0" w:line="240" w:lineRule="auto"/>
        <w:rPr>
          <w:rFonts w:ascii="TTE25323C0t00" w:hAnsi="TTE25323C0t00" w:cs="TTE25323C0t00"/>
          <w:sz w:val="20"/>
          <w:szCs w:val="20"/>
        </w:rPr>
      </w:pPr>
      <w:proofErr w:type="gramStart"/>
      <w:r>
        <w:rPr>
          <w:rFonts w:ascii="TTE25323C0t00" w:hAnsi="TTE25323C0t00" w:cs="TTE25323C0t00"/>
          <w:sz w:val="20"/>
          <w:szCs w:val="20"/>
        </w:rPr>
        <w:lastRenderedPageBreak/>
        <w:t>des</w:t>
      </w:r>
      <w:proofErr w:type="gramEnd"/>
      <w:r>
        <w:rPr>
          <w:rFonts w:ascii="TTE25323C0t00" w:hAnsi="TTE25323C0t00" w:cs="TTE25323C0t00"/>
          <w:sz w:val="20"/>
          <w:szCs w:val="20"/>
        </w:rPr>
        <w:t xml:space="preserve"> salariés selon la date d’entrée en vigueur d’un accord</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25323C0t00" w:hAnsi="TTE25323C0t00" w:cs="TTE25323C0t00"/>
          <w:sz w:val="20"/>
          <w:szCs w:val="20"/>
        </w:rPr>
        <w:t>collectif</w:t>
      </w:r>
      <w:proofErr w:type="gramEnd"/>
      <w:r>
        <w:rPr>
          <w:rFonts w:ascii="TTE25323C0t00" w:hAnsi="TTE25323C0t00" w:cs="TTE25323C0t00"/>
          <w:sz w:val="20"/>
          <w:szCs w:val="20"/>
        </w:rPr>
        <w:t xml:space="preserve"> </w:t>
      </w:r>
      <w:r>
        <w:rPr>
          <w:rFonts w:ascii="TTE1722F48t00" w:hAnsi="TTE1722F48t00" w:cs="TTE1722F48t00"/>
          <w:sz w:val="20"/>
          <w:szCs w:val="20"/>
        </w:rPr>
        <w:t xml:space="preserve">sauf, lorsque l’accord réserve un </w:t>
      </w:r>
      <w:r>
        <w:rPr>
          <w:rFonts w:ascii="TTE25323C0t00" w:hAnsi="TTE25323C0t00" w:cs="TTE25323C0t00"/>
          <w:sz w:val="20"/>
          <w:szCs w:val="20"/>
        </w:rPr>
        <w:t xml:space="preserve">avantage </w:t>
      </w:r>
      <w:r>
        <w:rPr>
          <w:rFonts w:ascii="TTE1722F48t00" w:hAnsi="TTE1722F48t00" w:cs="TTE1722F48t00"/>
          <w:sz w:val="20"/>
          <w:szCs w:val="20"/>
        </w:rPr>
        <w:t>aux</w:t>
      </w:r>
    </w:p>
    <w:p w:rsidR="004F4253" w:rsidRDefault="004F4253" w:rsidP="004F4253">
      <w:pPr>
        <w:autoSpaceDE w:val="0"/>
        <w:autoSpaceDN w:val="0"/>
        <w:adjustRightInd w:val="0"/>
        <w:spacing w:after="0" w:line="240" w:lineRule="auto"/>
        <w:rPr>
          <w:rFonts w:ascii="TTE1722F48t00" w:hAnsi="TTE1722F48t00" w:cs="TTE1722F48t00"/>
          <w:sz w:val="20"/>
          <w:szCs w:val="20"/>
        </w:rPr>
      </w:pPr>
      <w:proofErr w:type="gramStart"/>
      <w:r>
        <w:rPr>
          <w:rFonts w:ascii="TTE1722F48t00" w:hAnsi="TTE1722F48t00" w:cs="TTE1722F48t00"/>
          <w:sz w:val="20"/>
          <w:szCs w:val="20"/>
        </w:rPr>
        <w:t>salariés</w:t>
      </w:r>
      <w:proofErr w:type="gramEnd"/>
      <w:r>
        <w:rPr>
          <w:rFonts w:ascii="TTE1722F48t00" w:hAnsi="TTE1722F48t00" w:cs="TTE1722F48t00"/>
          <w:sz w:val="20"/>
          <w:szCs w:val="20"/>
        </w:rPr>
        <w:t xml:space="preserve"> présents lors de son entrée en vigueur afin de</w:t>
      </w:r>
    </w:p>
    <w:p w:rsidR="004F4253" w:rsidRDefault="004F4253" w:rsidP="004F4253">
      <w:pPr>
        <w:spacing w:before="100" w:beforeAutospacing="1" w:after="100" w:afterAutospacing="1" w:line="240" w:lineRule="auto"/>
        <w:jc w:val="both"/>
      </w:pPr>
      <w:proofErr w:type="gramStart"/>
      <w:r>
        <w:rPr>
          <w:rFonts w:ascii="TTE25323C0t00" w:hAnsi="TTE25323C0t00" w:cs="TTE25323C0t00"/>
          <w:sz w:val="20"/>
          <w:szCs w:val="20"/>
        </w:rPr>
        <w:t>compenser</w:t>
      </w:r>
      <w:proofErr w:type="gramEnd"/>
      <w:r>
        <w:rPr>
          <w:rFonts w:ascii="TTE25323C0t00" w:hAnsi="TTE25323C0t00" w:cs="TTE25323C0t00"/>
          <w:sz w:val="20"/>
          <w:szCs w:val="20"/>
        </w:rPr>
        <w:t xml:space="preserve"> un préjudice </w:t>
      </w:r>
      <w:r>
        <w:rPr>
          <w:rFonts w:ascii="TTE1722F48t00" w:hAnsi="TTE1722F48t00" w:cs="TTE1722F48t00"/>
          <w:sz w:val="20"/>
          <w:szCs w:val="20"/>
        </w:rPr>
        <w:t>subi par ces derniers.</w:t>
      </w:r>
      <w:bookmarkStart w:id="0" w:name="_GoBack"/>
      <w:bookmarkEnd w:id="0"/>
    </w:p>
    <w:p w:rsidR="004F4253" w:rsidRDefault="004F4253" w:rsidP="00747834">
      <w:pPr>
        <w:spacing w:before="100" w:beforeAutospacing="1" w:after="100" w:afterAutospacing="1" w:line="240" w:lineRule="auto"/>
        <w:jc w:val="both"/>
      </w:pPr>
    </w:p>
    <w:p w:rsidR="004F4253" w:rsidRPr="003F47BC" w:rsidRDefault="004F4253" w:rsidP="00747834">
      <w:pPr>
        <w:spacing w:before="100" w:beforeAutospacing="1" w:after="100" w:afterAutospacing="1" w:line="240" w:lineRule="auto"/>
        <w:jc w:val="both"/>
        <w:rPr>
          <w:rFonts w:eastAsia="Times New Roman" w:cstheme="minorHAnsi"/>
          <w:sz w:val="20"/>
          <w:szCs w:val="20"/>
          <w:lang w:eastAsia="fr-FR"/>
        </w:rPr>
      </w:pPr>
    </w:p>
    <w:p w:rsidR="00747834" w:rsidRPr="003F47BC" w:rsidRDefault="00747834" w:rsidP="00747834">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Cette règle trouve à s’appliquer s’agissant de salariés effectuant le même travail et ayant des fonctions identiques au sein de l’entreprise.</w:t>
      </w:r>
    </w:p>
    <w:p w:rsidR="00747834" w:rsidRPr="003F47BC" w:rsidRDefault="00747834" w:rsidP="00747834">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Ainsi la Cour de cassation a considéré qu’un directeur des ressources humaines ne pouvait invoquer ce principe d’égalité salariale dans la mesure où il n’occupait pas les mêmes fonctions qu’un directeur commercial ou un directeur technique, quand bien même ils étaient tous membres du comité de direction (</w:t>
      </w:r>
      <w:proofErr w:type="spellStart"/>
      <w:r w:rsidRPr="003F47BC">
        <w:rPr>
          <w:rFonts w:eastAsia="Times New Roman" w:cstheme="minorHAnsi"/>
          <w:i/>
          <w:iCs/>
          <w:sz w:val="20"/>
          <w:szCs w:val="20"/>
          <w:lang w:eastAsia="fr-FR"/>
        </w:rPr>
        <w:t>Cass</w:t>
      </w:r>
      <w:proofErr w:type="spellEnd"/>
      <w:r w:rsidRPr="003F47BC">
        <w:rPr>
          <w:rFonts w:eastAsia="Times New Roman" w:cstheme="minorHAnsi"/>
          <w:i/>
          <w:iCs/>
          <w:sz w:val="20"/>
          <w:szCs w:val="20"/>
          <w:lang w:eastAsia="fr-FR"/>
        </w:rPr>
        <w:t>. soc. 26 juin 2008, n</w:t>
      </w:r>
      <w:r w:rsidRPr="003F47BC">
        <w:rPr>
          <w:rFonts w:eastAsia="Times New Roman" w:cstheme="minorHAnsi"/>
          <w:i/>
          <w:iCs/>
          <w:sz w:val="20"/>
          <w:szCs w:val="20"/>
          <w:vertAlign w:val="superscript"/>
          <w:lang w:eastAsia="fr-FR"/>
        </w:rPr>
        <w:t xml:space="preserve">o </w:t>
      </w:r>
      <w:r w:rsidRPr="003F47BC">
        <w:rPr>
          <w:rFonts w:eastAsia="Times New Roman" w:cstheme="minorHAnsi"/>
          <w:i/>
          <w:iCs/>
          <w:sz w:val="20"/>
          <w:szCs w:val="20"/>
          <w:lang w:eastAsia="fr-FR"/>
        </w:rPr>
        <w:t>06-46.204</w:t>
      </w:r>
      <w:r w:rsidRPr="003F47BC">
        <w:rPr>
          <w:rFonts w:eastAsia="Times New Roman" w:cstheme="minorHAnsi"/>
          <w:sz w:val="20"/>
          <w:szCs w:val="20"/>
          <w:lang w:eastAsia="fr-FR"/>
        </w:rPr>
        <w:t>).</w:t>
      </w:r>
    </w:p>
    <w:p w:rsidR="00747834" w:rsidRPr="003F47BC" w:rsidRDefault="00747834" w:rsidP="00747834">
      <w:pPr>
        <w:rPr>
          <w:rFonts w:cstheme="minorHAnsi"/>
          <w:sz w:val="20"/>
          <w:szCs w:val="20"/>
        </w:rPr>
      </w:pPr>
      <w:r>
        <w:rPr>
          <w:rFonts w:cstheme="minorHAnsi"/>
          <w:sz w:val="20"/>
          <w:szCs w:val="20"/>
        </w:rPr>
        <w:t>L</w:t>
      </w:r>
      <w:r w:rsidRPr="003F47BC">
        <w:rPr>
          <w:rFonts w:cstheme="minorHAnsi"/>
          <w:sz w:val="20"/>
          <w:szCs w:val="20"/>
        </w:rPr>
        <w:t>a Cour de Cassation a pu juger qu’« </w:t>
      </w:r>
      <w:r w:rsidRPr="003F47BC">
        <w:rPr>
          <w:rStyle w:val="Accentuation"/>
          <w:rFonts w:cstheme="minorHAnsi"/>
          <w:sz w:val="20"/>
          <w:szCs w:val="20"/>
        </w:rPr>
        <w:t xml:space="preserve">au regard du respect du principe à travail égal, salaire égal, la seule circonstance que les salariés aient été engagés avant ou après l'entrée en vigueur d'un accord collectif ne saurait suffire à justifier des différences de traitement entre eux. » </w:t>
      </w:r>
      <w:r w:rsidRPr="003F47BC">
        <w:rPr>
          <w:rFonts w:cstheme="minorHAnsi"/>
          <w:sz w:val="20"/>
          <w:szCs w:val="20"/>
        </w:rPr>
        <w:t>(</w:t>
      </w:r>
      <w:proofErr w:type="spellStart"/>
      <w:r w:rsidRPr="003F47BC">
        <w:rPr>
          <w:rStyle w:val="Accentuation"/>
          <w:rFonts w:cstheme="minorHAnsi"/>
          <w:sz w:val="20"/>
          <w:szCs w:val="20"/>
        </w:rPr>
        <w:t>Cass</w:t>
      </w:r>
      <w:proofErr w:type="spellEnd"/>
      <w:r w:rsidRPr="003F47BC">
        <w:rPr>
          <w:rStyle w:val="Accentuation"/>
          <w:rFonts w:cstheme="minorHAnsi"/>
          <w:sz w:val="20"/>
          <w:szCs w:val="20"/>
        </w:rPr>
        <w:t>. Soc., 21 février 2007, n</w:t>
      </w:r>
      <w:r w:rsidRPr="003F47BC">
        <w:rPr>
          <w:rStyle w:val="Accentuation"/>
          <w:rFonts w:cstheme="minorHAnsi"/>
          <w:sz w:val="20"/>
          <w:szCs w:val="20"/>
          <w:vertAlign w:val="superscript"/>
        </w:rPr>
        <w:t xml:space="preserve">o </w:t>
      </w:r>
      <w:r w:rsidRPr="003F47BC">
        <w:rPr>
          <w:rStyle w:val="Accentuation"/>
          <w:rFonts w:cstheme="minorHAnsi"/>
          <w:sz w:val="20"/>
          <w:szCs w:val="20"/>
        </w:rPr>
        <w:t>05-43.136</w:t>
      </w:r>
      <w:r w:rsidRPr="003F47BC">
        <w:rPr>
          <w:rFonts w:cstheme="minorHAnsi"/>
          <w:sz w:val="20"/>
          <w:szCs w:val="20"/>
        </w:rPr>
        <w:t>)</w:t>
      </w:r>
      <w:r w:rsidRPr="003F47BC">
        <w:rPr>
          <w:rStyle w:val="Accentuation"/>
          <w:rFonts w:cstheme="minorHAnsi"/>
          <w:sz w:val="20"/>
          <w:szCs w:val="20"/>
        </w:rPr>
        <w:t>.</w:t>
      </w:r>
    </w:p>
    <w:p w:rsidR="002F79A8" w:rsidRDefault="00DE0838">
      <w:r w:rsidRPr="00DE0838">
        <w:t>http://www.preprod.courdecassation.fr/publications_cour_26/rapport_annuel_36/rapport_2009_3408/quatrieme_partie_jurisprudence_cour_3412/droit_travail_3442/egalite_traitement_discrimination_harcelement_3452/egalite_traitement_15372.html</w:t>
      </w:r>
    </w:p>
    <w:sectPr w:rsidR="002F7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TE25323C0t00">
    <w:panose1 w:val="00000000000000000000"/>
    <w:charset w:val="00"/>
    <w:family w:val="auto"/>
    <w:notTrueType/>
    <w:pitch w:val="default"/>
    <w:sig w:usb0="00000003" w:usb1="00000000" w:usb2="00000000" w:usb3="00000000" w:csb0="00000001" w:csb1="00000000"/>
  </w:font>
  <w:font w:name="TTE1725F20t00">
    <w:panose1 w:val="00000000000000000000"/>
    <w:charset w:val="00"/>
    <w:family w:val="auto"/>
    <w:notTrueType/>
    <w:pitch w:val="default"/>
    <w:sig w:usb0="00000003" w:usb1="00000000" w:usb2="00000000" w:usb3="00000000" w:csb0="00000001" w:csb1="00000000"/>
  </w:font>
  <w:font w:name="TTE1722F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34"/>
    <w:rsid w:val="004F4253"/>
    <w:rsid w:val="00747834"/>
    <w:rsid w:val="007576A1"/>
    <w:rsid w:val="00885C13"/>
    <w:rsid w:val="00C97E27"/>
    <w:rsid w:val="00DE0838"/>
    <w:rsid w:val="00EA5B42"/>
    <w:rsid w:val="00F8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47834"/>
    <w:rPr>
      <w:b/>
      <w:bCs/>
    </w:rPr>
  </w:style>
  <w:style w:type="character" w:styleId="Accentuation">
    <w:name w:val="Emphasis"/>
    <w:basedOn w:val="Policepardfaut"/>
    <w:uiPriority w:val="20"/>
    <w:qFormat/>
    <w:rsid w:val="00747834"/>
    <w:rPr>
      <w:i/>
      <w:iCs/>
    </w:rPr>
  </w:style>
  <w:style w:type="character" w:customStyle="1" w:styleId="spipsurligne">
    <w:name w:val="spip_surligne"/>
    <w:basedOn w:val="Policepardfaut"/>
    <w:rsid w:val="00885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47834"/>
    <w:rPr>
      <w:b/>
      <w:bCs/>
    </w:rPr>
  </w:style>
  <w:style w:type="character" w:styleId="Accentuation">
    <w:name w:val="Emphasis"/>
    <w:basedOn w:val="Policepardfaut"/>
    <w:uiPriority w:val="20"/>
    <w:qFormat/>
    <w:rsid w:val="00747834"/>
    <w:rPr>
      <w:i/>
      <w:iCs/>
    </w:rPr>
  </w:style>
  <w:style w:type="character" w:customStyle="1" w:styleId="spipsurligne">
    <w:name w:val="spip_surligne"/>
    <w:basedOn w:val="Policepardfaut"/>
    <w:rsid w:val="0088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677</Words>
  <Characters>3727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5</cp:revision>
  <dcterms:created xsi:type="dcterms:W3CDTF">2011-11-02T19:53:00Z</dcterms:created>
  <dcterms:modified xsi:type="dcterms:W3CDTF">2011-11-02T20:06:00Z</dcterms:modified>
</cp:coreProperties>
</file>