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45E" w:rsidRPr="0048245E" w:rsidRDefault="0048245E" w:rsidP="0048245E">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48245E">
        <w:rPr>
          <w:rFonts w:ascii="Times New Roman" w:eastAsia="Times New Roman" w:hAnsi="Times New Roman" w:cs="Times New Roman"/>
          <w:b/>
          <w:bCs/>
          <w:sz w:val="27"/>
          <w:szCs w:val="27"/>
          <w:lang w:eastAsia="fr-FR"/>
        </w:rPr>
        <w:t>Les réponses de l’employeur</w:t>
      </w:r>
    </w:p>
    <w:p w:rsidR="0048245E" w:rsidRPr="0048245E" w:rsidRDefault="0048245E" w:rsidP="0048245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8245E">
        <w:rPr>
          <w:rFonts w:ascii="Times New Roman" w:eastAsia="Times New Roman" w:hAnsi="Times New Roman" w:cs="Times New Roman"/>
          <w:sz w:val="24"/>
          <w:szCs w:val="24"/>
          <w:lang w:eastAsia="fr-FR"/>
        </w:rPr>
        <w:t>L’employeur doit répondre par écrit aux demandes des délégués au plus tard 6 jours ouvrables suivant la réunion. Les demandes (réclamations-questions) des délégués et les réponses de l’employeur à ces questions sont soit transcrites sur le registre spécial, soit annexées à ce registre, soit encore conservées par ordre de date dans un recueil.</w:t>
      </w:r>
    </w:p>
    <w:p w:rsidR="0048245E" w:rsidRPr="0048245E" w:rsidRDefault="0048245E" w:rsidP="0048245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8245E">
        <w:rPr>
          <w:rFonts w:ascii="Times New Roman" w:eastAsia="Times New Roman" w:hAnsi="Times New Roman" w:cs="Times New Roman"/>
          <w:sz w:val="24"/>
          <w:szCs w:val="24"/>
          <w:lang w:eastAsia="fr-FR"/>
        </w:rPr>
        <w:t> </w:t>
      </w:r>
    </w:p>
    <w:p w:rsidR="0048245E" w:rsidRPr="0048245E" w:rsidRDefault="0048245E" w:rsidP="0048245E">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48245E">
        <w:rPr>
          <w:rFonts w:ascii="Times New Roman" w:eastAsia="Times New Roman" w:hAnsi="Times New Roman" w:cs="Times New Roman"/>
          <w:b/>
          <w:bCs/>
          <w:sz w:val="27"/>
          <w:szCs w:val="27"/>
          <w:lang w:eastAsia="fr-FR"/>
        </w:rPr>
        <w:t>Le REGISTRE</w:t>
      </w:r>
    </w:p>
    <w:p w:rsidR="0048245E" w:rsidRPr="0048245E" w:rsidRDefault="0048245E" w:rsidP="0048245E">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916430" cy="1582420"/>
            <wp:effectExtent l="0" t="0" r="7620" b="0"/>
            <wp:docPr id="1" name="Image 1" descr="regis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st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6430" cy="1582420"/>
                    </a:xfrm>
                    <a:prstGeom prst="rect">
                      <a:avLst/>
                    </a:prstGeom>
                    <a:noFill/>
                    <a:ln>
                      <a:noFill/>
                    </a:ln>
                  </pic:spPr>
                </pic:pic>
              </a:graphicData>
            </a:graphic>
          </wp:inline>
        </w:drawing>
      </w:r>
      <w:r w:rsidRPr="0048245E">
        <w:rPr>
          <w:rFonts w:ascii="Times New Roman" w:eastAsia="Times New Roman" w:hAnsi="Times New Roman" w:cs="Times New Roman"/>
          <w:sz w:val="24"/>
          <w:szCs w:val="24"/>
          <w:lang w:eastAsia="fr-FR"/>
        </w:rPr>
        <w:t>Les demandes et réponses sont soit transcrites sur un registre spécial, soit annexées à ce registre, soit encore conservées par ordre de date dans un recueil. Ce registre ou ce recueil doit être tenu à la disposition :</w:t>
      </w:r>
    </w:p>
    <w:p w:rsidR="0048245E" w:rsidRPr="0048245E" w:rsidRDefault="0048245E" w:rsidP="0048245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8245E">
        <w:rPr>
          <w:rFonts w:ascii="Times New Roman" w:eastAsia="Times New Roman" w:hAnsi="Times New Roman" w:cs="Times New Roman"/>
          <w:sz w:val="24"/>
          <w:szCs w:val="24"/>
          <w:lang w:eastAsia="fr-FR"/>
        </w:rPr>
        <w:t>des salariés, pendant un jour ouvrable par quinzaine, et en dehors de leur temps de travail ;</w:t>
      </w:r>
    </w:p>
    <w:p w:rsidR="0048245E" w:rsidRPr="0048245E" w:rsidRDefault="0048245E" w:rsidP="0048245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8245E">
        <w:rPr>
          <w:rFonts w:ascii="Times New Roman" w:eastAsia="Times New Roman" w:hAnsi="Times New Roman" w:cs="Times New Roman"/>
          <w:sz w:val="24"/>
          <w:szCs w:val="24"/>
          <w:lang w:eastAsia="fr-FR"/>
        </w:rPr>
        <w:t>de l'Inspecteur du Travail ;</w:t>
      </w:r>
    </w:p>
    <w:p w:rsidR="0048245E" w:rsidRPr="0048245E" w:rsidRDefault="0048245E" w:rsidP="0048245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8245E">
        <w:rPr>
          <w:rFonts w:ascii="Times New Roman" w:eastAsia="Times New Roman" w:hAnsi="Times New Roman" w:cs="Times New Roman"/>
          <w:sz w:val="24"/>
          <w:szCs w:val="24"/>
          <w:lang w:eastAsia="fr-FR"/>
        </w:rPr>
        <w:t xml:space="preserve">Ddes délégués du personnel </w:t>
      </w:r>
      <w:r w:rsidRPr="0048245E">
        <w:rPr>
          <w:rFonts w:ascii="Courier New" w:eastAsia="Times New Roman" w:hAnsi="Courier New" w:cs="Courier New"/>
          <w:sz w:val="24"/>
          <w:szCs w:val="24"/>
          <w:lang w:eastAsia="fr-FR"/>
        </w:rPr>
        <w:t>( art. L. 2315-12).</w:t>
      </w:r>
    </w:p>
    <w:p w:rsidR="0048245E" w:rsidRDefault="0048245E" w:rsidP="0048245E">
      <w:pPr>
        <w:spacing w:before="100" w:beforeAutospacing="1" w:after="100" w:afterAutospacing="1" w:line="240" w:lineRule="auto"/>
        <w:jc w:val="both"/>
        <w:rPr>
          <w:rFonts w:ascii="Courier New" w:eastAsia="Times New Roman" w:hAnsi="Courier New" w:cs="Courier New"/>
          <w:sz w:val="24"/>
          <w:szCs w:val="24"/>
          <w:lang w:eastAsia="fr-FR"/>
        </w:rPr>
      </w:pPr>
      <w:r w:rsidRPr="0048245E">
        <w:rPr>
          <w:rFonts w:ascii="Times New Roman" w:eastAsia="Times New Roman" w:hAnsi="Times New Roman" w:cs="Times New Roman"/>
          <w:sz w:val="24"/>
          <w:szCs w:val="24"/>
          <w:lang w:eastAsia="fr-FR"/>
        </w:rPr>
        <w:t xml:space="preserve">L'employeur qui ne tient pas de registre ou s'abstient de donner une réponse à une question entrant dans les attributions des délégués du personnel ou qui fournit des réponses dilatoires commet un délit d'entrave </w:t>
      </w:r>
      <w:r w:rsidRPr="0048245E">
        <w:rPr>
          <w:rFonts w:ascii="Courier New" w:eastAsia="Times New Roman" w:hAnsi="Courier New" w:cs="Courier New"/>
          <w:sz w:val="24"/>
          <w:szCs w:val="24"/>
          <w:lang w:eastAsia="fr-FR"/>
        </w:rPr>
        <w:t>(Cass. crim., 29 mars 1977, no 76-91.340).</w:t>
      </w:r>
    </w:p>
    <w:p w:rsidR="004C18C8" w:rsidRPr="004C18C8" w:rsidRDefault="004C18C8" w:rsidP="004C18C8">
      <w:pPr>
        <w:spacing w:before="100" w:beforeAutospacing="1" w:after="100" w:afterAutospacing="1" w:line="240" w:lineRule="auto"/>
        <w:rPr>
          <w:rFonts w:ascii="Times New Roman" w:eastAsia="Times New Roman" w:hAnsi="Times New Roman" w:cs="Times New Roman"/>
          <w:sz w:val="24"/>
          <w:szCs w:val="24"/>
          <w:lang w:eastAsia="fr-FR"/>
        </w:rPr>
      </w:pPr>
      <w:r w:rsidRPr="004C18C8">
        <w:rPr>
          <w:rFonts w:ascii="Times New Roman" w:eastAsia="Times New Roman" w:hAnsi="Times New Roman" w:cs="Times New Roman"/>
          <w:sz w:val="24"/>
          <w:szCs w:val="24"/>
          <w:lang w:eastAsia="fr-FR"/>
        </w:rPr>
        <w:t>La loi n'impose pas de forme particulière, et aucun modèle officiel n'est imposé.</w:t>
      </w:r>
    </w:p>
    <w:p w:rsidR="004C18C8" w:rsidRPr="004C18C8" w:rsidRDefault="004C18C8" w:rsidP="004C18C8">
      <w:pPr>
        <w:spacing w:before="100" w:beforeAutospacing="1" w:after="100" w:afterAutospacing="1" w:line="240" w:lineRule="auto"/>
        <w:rPr>
          <w:rFonts w:ascii="Times New Roman" w:eastAsia="Times New Roman" w:hAnsi="Times New Roman" w:cs="Times New Roman"/>
          <w:sz w:val="24"/>
          <w:szCs w:val="24"/>
          <w:lang w:eastAsia="fr-FR"/>
        </w:rPr>
      </w:pPr>
      <w:r w:rsidRPr="004C18C8">
        <w:rPr>
          <w:rFonts w:ascii="Times New Roman" w:eastAsia="Times New Roman" w:hAnsi="Times New Roman" w:cs="Times New Roman"/>
          <w:sz w:val="24"/>
          <w:szCs w:val="24"/>
          <w:lang w:eastAsia="fr-FR"/>
        </w:rPr>
        <w:t>Il doit toutefois avoir une forme papier pour pouvoir être consulté.</w:t>
      </w:r>
    </w:p>
    <w:p w:rsidR="004C18C8" w:rsidRPr="004C18C8" w:rsidRDefault="004C18C8" w:rsidP="004C18C8">
      <w:pPr>
        <w:spacing w:before="100" w:beforeAutospacing="1" w:after="100" w:afterAutospacing="1" w:line="240" w:lineRule="auto"/>
        <w:rPr>
          <w:rFonts w:ascii="Times New Roman" w:eastAsia="Times New Roman" w:hAnsi="Times New Roman" w:cs="Times New Roman"/>
          <w:sz w:val="24"/>
          <w:szCs w:val="24"/>
          <w:lang w:eastAsia="fr-FR"/>
        </w:rPr>
      </w:pPr>
      <w:r w:rsidRPr="004C18C8">
        <w:rPr>
          <w:rFonts w:ascii="Times New Roman" w:eastAsia="Times New Roman" w:hAnsi="Times New Roman" w:cs="Times New Roman"/>
          <w:sz w:val="24"/>
          <w:szCs w:val="24"/>
          <w:lang w:eastAsia="fr-FR"/>
        </w:rPr>
        <w:t>Vous pouvez  utiliser un simple cahier dont les pages sont numérotées.</w:t>
      </w:r>
    </w:p>
    <w:p w:rsidR="004C18C8" w:rsidRPr="004C18C8" w:rsidRDefault="004C18C8" w:rsidP="004C18C8">
      <w:pPr>
        <w:spacing w:before="100" w:beforeAutospacing="1" w:after="100" w:afterAutospacing="1" w:line="240" w:lineRule="auto"/>
        <w:rPr>
          <w:rFonts w:ascii="Times New Roman" w:eastAsia="Times New Roman" w:hAnsi="Times New Roman" w:cs="Times New Roman"/>
          <w:sz w:val="24"/>
          <w:szCs w:val="24"/>
          <w:lang w:eastAsia="fr-FR"/>
        </w:rPr>
      </w:pPr>
      <w:r w:rsidRPr="004C18C8">
        <w:rPr>
          <w:rFonts w:ascii="Times New Roman" w:eastAsia="Times New Roman" w:hAnsi="Times New Roman" w:cs="Times New Roman"/>
          <w:sz w:val="24"/>
          <w:szCs w:val="24"/>
          <w:lang w:eastAsia="fr-FR"/>
        </w:rPr>
        <w:t>En précisant qu'il s'agit d'un registre, la loi exclut implicitement les feuilles volantes qui n'offriraient pas suffisamment de garanties.</w:t>
      </w:r>
    </w:p>
    <w:p w:rsidR="004C18C8" w:rsidRDefault="004C18C8" w:rsidP="0048245E">
      <w:pPr>
        <w:spacing w:before="100" w:beforeAutospacing="1" w:after="100" w:afterAutospacing="1" w:line="240" w:lineRule="auto"/>
        <w:jc w:val="both"/>
      </w:pPr>
      <w:r>
        <w:t>Le défaut de tenue du registre, quelle qu'en soit la raison, est répréhensible et constitue une entrave au fonctionnement régulier des instances représentatives du personnel (délit d'entrave). Ce délit est passible de peines d'emprisonnement et d'amendes (c. trav. art. L. 2316-1).</w:t>
      </w:r>
    </w:p>
    <w:p w:rsidR="004C18C8" w:rsidRPr="004C18C8" w:rsidRDefault="004C18C8" w:rsidP="004C18C8">
      <w:pPr>
        <w:spacing w:before="100" w:beforeAutospacing="1" w:after="100" w:afterAutospacing="1" w:line="240" w:lineRule="auto"/>
        <w:rPr>
          <w:rFonts w:ascii="Times New Roman" w:eastAsia="Times New Roman" w:hAnsi="Times New Roman" w:cs="Times New Roman"/>
          <w:sz w:val="24"/>
          <w:szCs w:val="24"/>
          <w:lang w:eastAsia="fr-FR"/>
        </w:rPr>
      </w:pPr>
      <w:r w:rsidRPr="004C18C8">
        <w:rPr>
          <w:rFonts w:ascii="Times New Roman" w:eastAsia="Times New Roman" w:hAnsi="Times New Roman" w:cs="Times New Roman"/>
          <w:sz w:val="24"/>
          <w:szCs w:val="24"/>
          <w:lang w:eastAsia="fr-FR"/>
        </w:rPr>
        <w:t>Le registre retranscrit :</w:t>
      </w:r>
    </w:p>
    <w:p w:rsidR="004C18C8" w:rsidRPr="004C18C8" w:rsidRDefault="004C18C8" w:rsidP="004C18C8">
      <w:pPr>
        <w:spacing w:before="100" w:beforeAutospacing="1" w:after="100" w:afterAutospacing="1" w:line="240" w:lineRule="auto"/>
        <w:rPr>
          <w:rFonts w:ascii="Times New Roman" w:eastAsia="Times New Roman" w:hAnsi="Times New Roman" w:cs="Times New Roman"/>
          <w:sz w:val="24"/>
          <w:szCs w:val="24"/>
          <w:lang w:eastAsia="fr-FR"/>
        </w:rPr>
      </w:pPr>
      <w:r w:rsidRPr="004C18C8">
        <w:rPr>
          <w:rFonts w:ascii="Times New Roman" w:eastAsia="Times New Roman" w:hAnsi="Times New Roman" w:cs="Times New Roman"/>
          <w:sz w:val="24"/>
          <w:szCs w:val="24"/>
          <w:lang w:eastAsia="fr-FR"/>
        </w:rPr>
        <w:t>- toutes les notes écrites exposant l'objet des demandes des délégués du personnel ; ces notes doivent être remises à l'employeur deux jours ouvrables avant la date à laquelle les délégués du personnel doivent être reçus. (c. trav. art. L. 2315-12)</w:t>
      </w:r>
    </w:p>
    <w:p w:rsidR="004C18C8" w:rsidRPr="004C18C8" w:rsidRDefault="004C18C8" w:rsidP="004C18C8">
      <w:pPr>
        <w:spacing w:before="100" w:beforeAutospacing="1" w:after="100" w:afterAutospacing="1" w:line="240" w:lineRule="auto"/>
        <w:rPr>
          <w:rFonts w:ascii="Times New Roman" w:eastAsia="Times New Roman" w:hAnsi="Times New Roman" w:cs="Times New Roman"/>
          <w:sz w:val="24"/>
          <w:szCs w:val="24"/>
          <w:lang w:eastAsia="fr-FR"/>
        </w:rPr>
      </w:pPr>
      <w:r w:rsidRPr="004C18C8">
        <w:rPr>
          <w:rFonts w:ascii="Times New Roman" w:eastAsia="Times New Roman" w:hAnsi="Times New Roman" w:cs="Times New Roman"/>
          <w:sz w:val="24"/>
          <w:szCs w:val="24"/>
          <w:lang w:eastAsia="fr-FR"/>
        </w:rPr>
        <w:lastRenderedPageBreak/>
        <w:t>- la réponse par écrit de l'employeur à ces notes dans un délai n'excédant pas six jours ouvrables suivant la réunion sachant que l'employeur doit réunir les délégués du personnel collectivement au moins une fois par mois.</w:t>
      </w:r>
    </w:p>
    <w:p w:rsidR="004C18C8" w:rsidRDefault="00C00CA6" w:rsidP="0048245E">
      <w:pPr>
        <w:spacing w:before="100" w:beforeAutospacing="1" w:after="100" w:afterAutospacing="1" w:line="240" w:lineRule="auto"/>
        <w:jc w:val="both"/>
        <w:rPr>
          <w:rFonts w:ascii="Courier New" w:eastAsia="Times New Roman" w:hAnsi="Courier New" w:cs="Courier New"/>
          <w:sz w:val="24"/>
          <w:szCs w:val="24"/>
          <w:lang w:eastAsia="fr-FR"/>
        </w:rPr>
      </w:pPr>
      <w:r>
        <w:t>inscription sur le registre des délégués du personnel</w:t>
      </w:r>
    </w:p>
    <w:p w:rsidR="00A10C4D" w:rsidRDefault="00A10C4D" w:rsidP="0048245E">
      <w:pPr>
        <w:spacing w:before="100" w:beforeAutospacing="1" w:after="100" w:afterAutospacing="1" w:line="240" w:lineRule="auto"/>
        <w:jc w:val="both"/>
        <w:rPr>
          <w:rFonts w:ascii="Courier New" w:eastAsia="Times New Roman" w:hAnsi="Courier New" w:cs="Courier New"/>
          <w:sz w:val="24"/>
          <w:szCs w:val="24"/>
          <w:lang w:eastAsia="fr-FR"/>
        </w:rPr>
      </w:pPr>
    </w:p>
    <w:p w:rsidR="006714A9" w:rsidRDefault="006714A9" w:rsidP="0048245E">
      <w:pPr>
        <w:spacing w:before="100" w:beforeAutospacing="1" w:after="100" w:afterAutospacing="1" w:line="240" w:lineRule="auto"/>
        <w:jc w:val="both"/>
        <w:rPr>
          <w:rFonts w:ascii="Courier New" w:eastAsia="Times New Roman" w:hAnsi="Courier New" w:cs="Courier New"/>
          <w:sz w:val="24"/>
          <w:szCs w:val="24"/>
          <w:lang w:eastAsia="fr-FR"/>
        </w:rPr>
      </w:pPr>
      <w:r w:rsidRPr="006714A9">
        <w:rPr>
          <w:rFonts w:ascii="Courier New" w:eastAsia="Times New Roman" w:hAnsi="Courier New" w:cs="Courier New"/>
          <w:sz w:val="24"/>
          <w:szCs w:val="24"/>
          <w:lang w:eastAsia="fr-FR"/>
        </w:rPr>
        <w:t>http://www.sud-travail-affaires-sociales.org/IMG/pdf/questions_reponses_Delegues_du_personnel_2010.pdf</w:t>
      </w:r>
    </w:p>
    <w:p w:rsidR="00A10C4D" w:rsidRDefault="006F4269" w:rsidP="0048245E">
      <w:pPr>
        <w:spacing w:before="100" w:beforeAutospacing="1" w:after="100" w:afterAutospacing="1" w:line="240" w:lineRule="auto"/>
        <w:jc w:val="both"/>
        <w:rPr>
          <w:rFonts w:ascii="Courier New" w:eastAsia="Times New Roman" w:hAnsi="Courier New" w:cs="Courier New"/>
          <w:sz w:val="24"/>
          <w:szCs w:val="24"/>
          <w:lang w:eastAsia="fr-FR"/>
        </w:rPr>
      </w:pPr>
      <w:r>
        <w:t xml:space="preserve">L’entreprise applique-t-elle une </w:t>
      </w:r>
      <w:r w:rsidR="00493777">
        <w:t>E</w:t>
      </w:r>
      <w:r w:rsidR="00A10C4D">
        <w:t>galité de traitement entre les salariés dans des conditions identiques</w:t>
      </w:r>
      <w:r>
        <w:t> ?</w:t>
      </w:r>
    </w:p>
    <w:p w:rsidR="00A10C4D" w:rsidRDefault="00EC3575" w:rsidP="0048245E">
      <w:pPr>
        <w:spacing w:before="100" w:beforeAutospacing="1" w:after="100" w:afterAutospacing="1" w:line="240" w:lineRule="auto"/>
        <w:jc w:val="both"/>
      </w:pPr>
      <w:r>
        <w:t>S</w:t>
      </w:r>
      <w:r w:rsidR="00A10C4D">
        <w:t xml:space="preserve">ur quels textes vous appuyez vous pour </w:t>
      </w:r>
      <w:r w:rsidR="000C14A0">
        <w:t xml:space="preserve"> qu’un  salarié embauché après le 1 Janvier 2010 et dont la classification </w:t>
      </w:r>
      <w:r w:rsidR="00A06324">
        <w:t xml:space="preserve">est </w:t>
      </w:r>
      <w:r w:rsidR="000C14A0">
        <w:t xml:space="preserve">inférieure </w:t>
      </w:r>
      <w:r w:rsidR="00A06324">
        <w:t>au grande</w:t>
      </w:r>
      <w:r w:rsidR="000C14A0">
        <w:t xml:space="preserve"> 12 </w:t>
      </w:r>
      <w:r w:rsidR="00A06324">
        <w:t xml:space="preserve">le rend inéligible au versement du Corporate Bonus </w:t>
      </w:r>
      <w:r w:rsidR="00A10C4D">
        <w:t>(quel article du code du travail, quel article de la convention collective, de l’accord d’entreprise, de son contrat de travail, quelle note de service, quel usage ?)</w:t>
      </w:r>
      <w:r>
        <w:t>.</w:t>
      </w:r>
    </w:p>
    <w:p w:rsidR="00EC3575" w:rsidRDefault="00EC3575" w:rsidP="0048245E">
      <w:pPr>
        <w:spacing w:before="100" w:beforeAutospacing="1" w:after="100" w:afterAutospacing="1" w:line="240" w:lineRule="auto"/>
        <w:jc w:val="both"/>
      </w:pPr>
      <w:r>
        <w:t xml:space="preserve">Savez-vous que les critères permettant l’attribution d’une prime ou d’une augmentation doivent reposer sur des éléments pertinents, objectifs et pouvant être </w:t>
      </w:r>
      <w:r w:rsidR="008544E1">
        <w:t>contrôlé</w:t>
      </w:r>
      <w:r>
        <w:t>.</w:t>
      </w:r>
    </w:p>
    <w:p w:rsidR="00706468" w:rsidRPr="00706468" w:rsidRDefault="00706468" w:rsidP="00706468">
      <w:pPr>
        <w:spacing w:before="100" w:beforeAutospacing="1" w:after="100" w:afterAutospacing="1" w:line="240" w:lineRule="auto"/>
        <w:rPr>
          <w:rFonts w:ascii="Times New Roman" w:eastAsia="Times New Roman" w:hAnsi="Times New Roman" w:cs="Times New Roman"/>
          <w:sz w:val="24"/>
          <w:szCs w:val="24"/>
          <w:lang w:eastAsia="fr-FR"/>
        </w:rPr>
      </w:pPr>
      <w:r w:rsidRPr="00706468">
        <w:rPr>
          <w:rFonts w:ascii="Times New Roman" w:eastAsia="Times New Roman" w:hAnsi="Times New Roman" w:cs="Times New Roman"/>
          <w:sz w:val="24"/>
          <w:szCs w:val="24"/>
          <w:lang w:eastAsia="fr-FR"/>
        </w:rPr>
        <w:t>La prime de nuit n'a pas été versée aux salariés de l'atelier &lt;&gt; le mois &lt; précédent, ou autre &gt;, pourquoi ?</w:t>
      </w:r>
    </w:p>
    <w:p w:rsidR="00706468" w:rsidRPr="00706468" w:rsidRDefault="00706468" w:rsidP="00706468">
      <w:pPr>
        <w:spacing w:before="100" w:beforeAutospacing="1" w:after="100" w:afterAutospacing="1" w:line="240" w:lineRule="auto"/>
        <w:rPr>
          <w:rFonts w:ascii="Times New Roman" w:eastAsia="Times New Roman" w:hAnsi="Times New Roman" w:cs="Times New Roman"/>
          <w:sz w:val="24"/>
          <w:szCs w:val="24"/>
          <w:lang w:eastAsia="fr-FR"/>
        </w:rPr>
      </w:pPr>
      <w:r w:rsidRPr="00706468">
        <w:rPr>
          <w:rFonts w:ascii="Times New Roman" w:eastAsia="Times New Roman" w:hAnsi="Times New Roman" w:cs="Times New Roman"/>
          <w:sz w:val="24"/>
          <w:szCs w:val="24"/>
          <w:lang w:eastAsia="fr-FR"/>
        </w:rPr>
        <w:t>– La règle à travail égal, salaire égal ne semble pas respectée au bureau d'études. Des &lt; dessinateurs, ou autres &gt; de même coefficient et d'ancienneté équivalente ont en effet des salaires très différents.</w:t>
      </w:r>
    </w:p>
    <w:p w:rsidR="008544E1" w:rsidRDefault="008544E1" w:rsidP="0048245E">
      <w:pPr>
        <w:spacing w:before="100" w:beforeAutospacing="1" w:after="100" w:afterAutospacing="1" w:line="240" w:lineRule="auto"/>
        <w:jc w:val="both"/>
      </w:pPr>
    </w:p>
    <w:p w:rsidR="008544E1" w:rsidRDefault="008544E1" w:rsidP="0048245E">
      <w:pPr>
        <w:spacing w:before="100" w:beforeAutospacing="1" w:after="100" w:afterAutospacing="1" w:line="240" w:lineRule="auto"/>
        <w:jc w:val="both"/>
      </w:pPr>
    </w:p>
    <w:p w:rsidR="008544E1" w:rsidRDefault="008544E1" w:rsidP="0070174D">
      <w:pPr>
        <w:spacing w:before="100" w:beforeAutospacing="1" w:after="100" w:afterAutospacing="1" w:line="240" w:lineRule="auto"/>
        <w:ind w:left="708" w:hanging="708"/>
        <w:jc w:val="both"/>
      </w:pPr>
      <w:r>
        <w:t>L</w:t>
      </w:r>
      <w:r>
        <w:t>e Délégué du Personnel doit transmettre par écrit 2 jours ouvrables avant la réunion les réclamations que les salarié(e)s lui ont demandés de porter. (article L2315-12 du code du travail).</w:t>
      </w:r>
    </w:p>
    <w:p w:rsidR="0070174D" w:rsidRDefault="0070174D" w:rsidP="0070174D">
      <w:pPr>
        <w:spacing w:before="100" w:beforeAutospacing="1" w:after="100" w:afterAutospacing="1" w:line="240" w:lineRule="auto"/>
        <w:ind w:left="708" w:hanging="708"/>
        <w:jc w:val="both"/>
      </w:pPr>
    </w:p>
    <w:p w:rsidR="0070174D" w:rsidRDefault="0070174D" w:rsidP="0070174D">
      <w:pPr>
        <w:pStyle w:val="Titre3"/>
      </w:pPr>
      <w:r>
        <w:t>Comment l’employeur doit-il répondre aux réclamations écrites des Délégués du Personnel ?</w:t>
      </w:r>
    </w:p>
    <w:p w:rsidR="0070174D" w:rsidRDefault="0070174D" w:rsidP="0070174D">
      <w:pPr>
        <w:pStyle w:val="spip"/>
      </w:pPr>
      <w:r>
        <w:t>L’employeur répond par écrit à ces demandes, au plus tard dans les 6 jours ouvrables suivant la réunion. Les demandes des délégués du personnel et les réponses motivées de l’employeur doivent être transcrites sur un registre spécial ou annexées. Ce registre ainsi que les documents annexés sont tenus à la disposition des salariés de l’établissement désirant en prendre connaissance pendant un jour ouvrable par quinzaine et en dehors de leur temps de travail. Ils sont également tenus à la disposition de l’inspecteur du travail et des délégués du personnel (article L2315-12 du code du travail).</w:t>
      </w:r>
    </w:p>
    <w:p w:rsidR="00050BBE" w:rsidRDefault="008030F4" w:rsidP="0070174D">
      <w:pPr>
        <w:spacing w:before="100" w:beforeAutospacing="1" w:after="100" w:afterAutospacing="1" w:line="240" w:lineRule="auto"/>
        <w:ind w:left="708" w:hanging="708"/>
        <w:jc w:val="both"/>
      </w:pPr>
      <w:r>
        <w:lastRenderedPageBreak/>
        <w:t>délégué du personnel ne peut pas faire de discrimination ?</w:t>
      </w:r>
    </w:p>
    <w:p w:rsidR="00050BBE" w:rsidRDefault="00050BBE" w:rsidP="0070174D">
      <w:pPr>
        <w:spacing w:before="100" w:beforeAutospacing="1" w:after="100" w:afterAutospacing="1" w:line="240" w:lineRule="auto"/>
        <w:ind w:left="708" w:hanging="708"/>
        <w:jc w:val="both"/>
      </w:pPr>
      <w:r>
        <w:t>Devoir de loyauté</w:t>
      </w:r>
    </w:p>
    <w:p w:rsidR="00050BBE" w:rsidRDefault="00050BBE" w:rsidP="0070174D">
      <w:pPr>
        <w:spacing w:before="100" w:beforeAutospacing="1" w:after="100" w:afterAutospacing="1" w:line="240" w:lineRule="auto"/>
        <w:ind w:left="708" w:hanging="708"/>
        <w:jc w:val="both"/>
      </w:pPr>
      <w:r>
        <w:t>Discrimination contre une partie du personnel à qui le DP ne demande pas son avis sur un problème qui concerne l'ensemble du personnel.</w:t>
      </w:r>
      <w:r>
        <w:br/>
        <w:t>En fait, je cherche juste un texte de loi dans lequel il serait clairement écrit que le DP doit prendre en compte tout le personnel et non pas quelques personnes lorsqu'il y a un problème pour pouvoir appuyer le fait qu'il fait de la ségrégation.</w:t>
      </w:r>
    </w:p>
    <w:p w:rsidR="0070174D" w:rsidRDefault="0070174D" w:rsidP="0070174D">
      <w:pPr>
        <w:spacing w:before="100" w:beforeAutospacing="1" w:after="100" w:afterAutospacing="1" w:line="240" w:lineRule="auto"/>
        <w:ind w:left="708" w:hanging="708"/>
        <w:jc w:val="both"/>
        <w:rPr>
          <w:rFonts w:ascii="Times New Roman" w:eastAsia="Times New Roman" w:hAnsi="Times New Roman" w:cs="Times New Roman"/>
          <w:sz w:val="24"/>
          <w:szCs w:val="24"/>
          <w:lang w:eastAsia="fr-FR"/>
        </w:rPr>
      </w:pPr>
    </w:p>
    <w:p w:rsidR="004B2BE5" w:rsidRDefault="004B2BE5" w:rsidP="0070174D">
      <w:pPr>
        <w:spacing w:before="100" w:beforeAutospacing="1" w:after="100" w:afterAutospacing="1" w:line="240" w:lineRule="auto"/>
        <w:ind w:left="708" w:hanging="708"/>
        <w:jc w:val="both"/>
        <w:rPr>
          <w:rFonts w:ascii="Times New Roman" w:eastAsia="Times New Roman" w:hAnsi="Times New Roman" w:cs="Times New Roman"/>
          <w:sz w:val="24"/>
          <w:szCs w:val="24"/>
          <w:lang w:eastAsia="fr-FR"/>
        </w:rPr>
      </w:pPr>
      <w:r>
        <w:t>Article L2313-1</w:t>
      </w:r>
      <w:r>
        <w:t xml:space="preserve"> du code du Travail</w:t>
      </w:r>
    </w:p>
    <w:p w:rsidR="004B2BE5" w:rsidRPr="004B2BE5" w:rsidRDefault="004B2BE5" w:rsidP="004B2BE5">
      <w:pPr>
        <w:spacing w:before="100" w:beforeAutospacing="1" w:after="100" w:afterAutospacing="1" w:line="240" w:lineRule="auto"/>
        <w:rPr>
          <w:rFonts w:ascii="Times New Roman" w:eastAsia="Times New Roman" w:hAnsi="Times New Roman" w:cs="Times New Roman"/>
          <w:sz w:val="24"/>
          <w:szCs w:val="24"/>
          <w:lang w:eastAsia="fr-FR"/>
        </w:rPr>
      </w:pPr>
      <w:r w:rsidRPr="004B2BE5">
        <w:rPr>
          <w:rFonts w:ascii="Times New Roman" w:eastAsia="Times New Roman" w:hAnsi="Times New Roman" w:cs="Times New Roman"/>
          <w:sz w:val="24"/>
          <w:szCs w:val="24"/>
          <w:lang w:eastAsia="fr-FR"/>
        </w:rPr>
        <w:t>Les délégués du personnel ont pour mission :</w:t>
      </w:r>
    </w:p>
    <w:p w:rsidR="004B2BE5" w:rsidRPr="004B2BE5" w:rsidRDefault="004B2BE5" w:rsidP="004B2BE5">
      <w:pPr>
        <w:spacing w:before="100" w:beforeAutospacing="1" w:after="100" w:afterAutospacing="1" w:line="240" w:lineRule="auto"/>
        <w:rPr>
          <w:rFonts w:ascii="Times New Roman" w:eastAsia="Times New Roman" w:hAnsi="Times New Roman" w:cs="Times New Roman"/>
          <w:sz w:val="24"/>
          <w:szCs w:val="24"/>
          <w:lang w:eastAsia="fr-FR"/>
        </w:rPr>
      </w:pPr>
      <w:r w:rsidRPr="004B2BE5">
        <w:rPr>
          <w:rFonts w:ascii="Times New Roman" w:eastAsia="Times New Roman" w:hAnsi="Times New Roman" w:cs="Times New Roman"/>
          <w:sz w:val="24"/>
          <w:szCs w:val="24"/>
          <w:lang w:eastAsia="fr-FR"/>
        </w:rPr>
        <w:t>1° De présenter aux employeurs toutes les réclamations individuelles ou collectives relatives aux salaires, à l'application du code du travail et des autres dispositions légales concernant la protection sociale, la santé et la sécurité, ainsi que des conventions et accords applicables dans l'entreprise ;</w:t>
      </w:r>
    </w:p>
    <w:p w:rsidR="004B2BE5" w:rsidRPr="004B2BE5" w:rsidRDefault="004B2BE5" w:rsidP="004B2BE5">
      <w:pPr>
        <w:spacing w:before="100" w:beforeAutospacing="1" w:after="100" w:afterAutospacing="1" w:line="240" w:lineRule="auto"/>
        <w:rPr>
          <w:rFonts w:ascii="Times New Roman" w:eastAsia="Times New Roman" w:hAnsi="Times New Roman" w:cs="Times New Roman"/>
          <w:sz w:val="24"/>
          <w:szCs w:val="24"/>
          <w:lang w:eastAsia="fr-FR"/>
        </w:rPr>
      </w:pPr>
      <w:r w:rsidRPr="004B2BE5">
        <w:rPr>
          <w:rFonts w:ascii="Times New Roman" w:eastAsia="Times New Roman" w:hAnsi="Times New Roman" w:cs="Times New Roman"/>
          <w:sz w:val="24"/>
          <w:szCs w:val="24"/>
          <w:lang w:eastAsia="fr-FR"/>
        </w:rPr>
        <w:t>2° De saisir l'inspection du travail de toutes les plaintes et observations relatives à l'application des dispositions légales dont elle est chargée d'assurer le contrôle.</w:t>
      </w:r>
    </w:p>
    <w:p w:rsidR="004B2BE5" w:rsidRPr="0048245E" w:rsidRDefault="004B2BE5" w:rsidP="0070174D">
      <w:pPr>
        <w:spacing w:before="100" w:beforeAutospacing="1" w:after="100" w:afterAutospacing="1" w:line="240" w:lineRule="auto"/>
        <w:ind w:left="708" w:hanging="708"/>
        <w:jc w:val="both"/>
        <w:rPr>
          <w:rFonts w:ascii="Times New Roman" w:eastAsia="Times New Roman" w:hAnsi="Times New Roman" w:cs="Times New Roman"/>
          <w:sz w:val="24"/>
          <w:szCs w:val="24"/>
          <w:lang w:eastAsia="fr-FR"/>
        </w:rPr>
      </w:pPr>
    </w:p>
    <w:p w:rsidR="001040F8" w:rsidRDefault="003E1C4A">
      <w:r>
        <w:t>L’exercice de la capacité juridique du CE</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 xml:space="preserve">Cette personne doit recevoir une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délégation expresse de pouvoir</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 xml:space="preserve">telle que précédemment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décrite. En pratique, ce rôle revient au secrétaire du CE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 xml:space="preserve">Cass.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soc., 4 avr. 2001, n° 99-40.677</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 xml:space="preserve">) ou plus rarement à un autre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membre du comité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Cass. soc., 25 juin 2002, n° 00-18.268</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Attention à la manière dont le mandat est rédigé. Une distinc-</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 xml:space="preserve">tion doit être faite entre représenter en justice le CE et exercer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 xml:space="preserve">les voies de recours. Un mandat général qui prévoit ces deux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 xml:space="preserve">hypothèses permettra au secrétaire du CE d’agir en justice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 xml:space="preserve">et d’exercer les voies de recours. En revanche, si le mandat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 xml:space="preserve">prévoit uniquement le fait de représenter le CE en justice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 xml:space="preserve">et pas la possibilité d’exercer les voies de recours, dans ce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 xml:space="preserve">cas, pour faire appel d’une décision de justice, le secrétaire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 xml:space="preserve">devra être muni d’un pouvoir spécial. À défaut l’appel sera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 xml:space="preserve">déclaré irrecevable à moins qu’une régularisation intervienne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lastRenderedPageBreak/>
        <w:t>dans le délai de recours d’un mois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 xml:space="preserve">Cass. soc., 8 déc. 2009,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 xml:space="preserve">n° 08-17.041 ; v. « Le secrétaire doit avoir un pouvoir pour </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saisir le juge » par F. Barbé, CLCE n° 90, févr. 2010, p. 16</w:t>
      </w:r>
    </w:p>
    <w:p w:rsidR="003E1C4A" w:rsidRPr="003E1C4A" w:rsidRDefault="003E1C4A" w:rsidP="003E1C4A">
      <w:pPr>
        <w:spacing w:after="0" w:line="240" w:lineRule="auto"/>
        <w:rPr>
          <w:rFonts w:ascii="Arial" w:eastAsia="Times New Roman" w:hAnsi="Arial" w:cs="Arial"/>
          <w:sz w:val="27"/>
          <w:szCs w:val="27"/>
          <w:lang w:eastAsia="fr-FR"/>
        </w:rPr>
      </w:pPr>
      <w:r w:rsidRPr="003E1C4A">
        <w:rPr>
          <w:rFonts w:ascii="Arial" w:eastAsia="Times New Roman" w:hAnsi="Arial" w:cs="Arial"/>
          <w:sz w:val="27"/>
          <w:szCs w:val="27"/>
          <w:lang w:eastAsia="fr-FR"/>
        </w:rPr>
        <w:t>).</w:t>
      </w:r>
    </w:p>
    <w:p w:rsidR="003E1C4A" w:rsidRDefault="003E1C4A"/>
    <w:p w:rsidR="00E15E7F" w:rsidRPr="00E15E7F" w:rsidRDefault="00E15E7F" w:rsidP="00E15E7F">
      <w:pPr>
        <w:spacing w:after="0" w:line="240" w:lineRule="auto"/>
        <w:rPr>
          <w:rFonts w:ascii="Arial" w:eastAsia="Times New Roman" w:hAnsi="Arial" w:cs="Arial"/>
          <w:sz w:val="42"/>
          <w:szCs w:val="42"/>
          <w:lang w:eastAsia="fr-FR"/>
        </w:rPr>
      </w:pPr>
      <w:r w:rsidRPr="00E15E7F">
        <w:rPr>
          <w:rFonts w:ascii="Arial" w:eastAsia="Times New Roman" w:hAnsi="Arial" w:cs="Arial"/>
          <w:sz w:val="42"/>
          <w:szCs w:val="42"/>
          <w:lang w:eastAsia="fr-FR"/>
        </w:rPr>
        <w:t>SECRET DES CORRESPONDANCES</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Le secrétaire est protégé par la règle du secret des corres-</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 xml:space="preserve">pondances. L’ensemble du courrier et les courriels doivent </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lui être remis sans qu’ils soient décachetés ou ouverts.</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 xml:space="preserve">La Commission nationale de l’information et des libertés </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 xml:space="preserve">(Cnil) recommande aux entreprises que « </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 xml:space="preserve">lorsque les </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 xml:space="preserve">instances représentatives du personnel disposent d’un </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 xml:space="preserve">compte de messagerie dédié, des mesures de sécurité </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particulières devraient être défi</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 xml:space="preserve">nies ou mises en œuvre </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afi</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n d’assurer la confi</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dentialité des informations échan-</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 xml:space="preserve">gées </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 (</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Rapport d’activité de 2001 de la CNIL, Documen-</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 xml:space="preserve">tation française, 2002, p. 61 ; v. « Comment les syndicats </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 xml:space="preserve">peuvent-ils communiquer ? » par F. Sèbe, CLCE n° 91, </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mars 2010, p. 10</w:t>
      </w:r>
    </w:p>
    <w:p w:rsidR="00E15E7F" w:rsidRPr="00E15E7F" w:rsidRDefault="00E15E7F" w:rsidP="00E15E7F">
      <w:pPr>
        <w:spacing w:after="0" w:line="240" w:lineRule="auto"/>
        <w:rPr>
          <w:rFonts w:ascii="Arial" w:eastAsia="Times New Roman" w:hAnsi="Arial" w:cs="Arial"/>
          <w:sz w:val="25"/>
          <w:szCs w:val="25"/>
          <w:lang w:eastAsia="fr-FR"/>
        </w:rPr>
      </w:pPr>
      <w:r w:rsidRPr="00E15E7F">
        <w:rPr>
          <w:rFonts w:ascii="Arial" w:eastAsia="Times New Roman" w:hAnsi="Arial" w:cs="Arial"/>
          <w:sz w:val="25"/>
          <w:szCs w:val="25"/>
          <w:lang w:eastAsia="fr-FR"/>
        </w:rPr>
        <w:t>)</w:t>
      </w:r>
    </w:p>
    <w:p w:rsidR="00E15E7F" w:rsidRDefault="00E15E7F"/>
    <w:p w:rsidR="006C51C8" w:rsidRDefault="006C51C8">
      <w:r>
        <w:t>Il arrive qu’un secrétaire qui ne donne pas satisfaction dans l’exercice de ses fonctions (secrétaire changeant d’ordre du jour au dernier moment, ne rédigeant pas les procès-verbaux de réunion, soupçonné de collusion avec l’employeur, etc.) ne veuille pas démissionner de son mandat.</w:t>
      </w:r>
    </w:p>
    <w:p w:rsidR="006C51C8" w:rsidRDefault="006C51C8" w:rsidP="006C51C8">
      <w:pPr>
        <w:pStyle w:val="Titre3"/>
      </w:pPr>
      <w:r>
        <w:t>destitué (révoqué) de son mandat de secrétaire</w:t>
      </w:r>
    </w:p>
    <w:p w:rsidR="006C51C8" w:rsidRDefault="001A0F3D">
      <w:r>
        <w:t>En réalité, le secrétaire du CE peut largement faire ce qu'il veut, d'autant plus que c'est lui qui rédige le PV. </w:t>
      </w:r>
      <w:r>
        <w:br/>
        <w:t>J'ai vu secrétaire CE :</w:t>
      </w:r>
      <w:r>
        <w:br/>
        <w:t>dire "Ta gu.... " à un élu posant une question sur un sujet à l'ordre du jour et clore la séance </w:t>
      </w:r>
      <w:r>
        <w:br/>
        <w:t>- perdre l'enregistrement d'une séance et refuser de modifier le PV</w:t>
      </w:r>
      <w:r>
        <w:br/>
        <w:t>- attendre 1 an pour soumettre un PV de séance à avis du CE</w:t>
      </w:r>
      <w:r>
        <w:br/>
        <w:t>- diffuser des informations privées sur un élu ou RS, pour le discréditer</w:t>
      </w:r>
      <w:r>
        <w:br/>
        <w:t>- intégrer dans un PV des interventions d'élus placées entre guillements mais hors de leur contexte </w:t>
      </w:r>
      <w:r>
        <w:br/>
        <w:t>- omettre de joindre aux PV les déclarations faites en séances de CE et remises par écrit</w:t>
      </w:r>
      <w:r>
        <w:br/>
        <w:t>etc, etc ...</w:t>
      </w:r>
      <w:r>
        <w:br/>
      </w:r>
      <w:r>
        <w:br/>
      </w:r>
      <w:r>
        <w:lastRenderedPageBreak/>
        <w:t>Pour réagir, il faut :</w:t>
      </w:r>
      <w:r>
        <w:br/>
        <w:t>- évaluer le soutien du secrétaire de CE (sa majorité au sein de son syndicat, son éventuel niveau de collusion avec l'employeur)</w:t>
      </w:r>
      <w:r>
        <w:br/>
        <w:t>- disposer d'une majorité</w:t>
      </w:r>
      <w:r>
        <w:br/>
        <w:t>- avoir des éléments probants d'entrave,</w:t>
      </w:r>
      <w:r>
        <w:br/>
        <w:t>- éventuellement obtenir l'intervention du président (l'employeur).</w:t>
      </w:r>
      <w:r>
        <w:br/>
        <w:t>...</w:t>
      </w:r>
      <w:r>
        <w:br/>
      </w:r>
      <w:r>
        <w:br/>
        <w:t xml:space="preserve">et </w:t>
      </w:r>
      <w:r>
        <w:br/>
        <w:t xml:space="preserve">- essayer les questions diverses, </w:t>
      </w:r>
      <w:r>
        <w:br/>
        <w:t>- ou faire saisir le CE soit par un élu DP, soit par un membre du CHSCT, si la question relève de leur domaine de compétence</w:t>
      </w:r>
      <w:r>
        <w:br/>
        <w:t xml:space="preserve">- si ces interventions ne sont pas prises en compte, remettre en séance des déclarations écrites contenant les points de désaccord, afin de tenter d'obtenir que ces déclarations soient diffusées avec le PV </w:t>
      </w:r>
      <w:r>
        <w:br/>
        <w:t>- si elles ne sont pas diffusées, adresser ces déclarations en Recommandé avec AR le jour même de la séance,</w:t>
      </w:r>
      <w:r>
        <w:br/>
        <w:t xml:space="preserve">- et phase ultime, aller en référé au TGI demander au président de ce tribunal de condamner le secrétaire à diffuser à nouveau les PV avec les déclarations, et sur la page de garde, en encadré police 14, 16, ou plus, un encart faisant état de la décision du juge. </w:t>
      </w:r>
      <w:r>
        <w:br/>
        <w:t>Sachant que l'</w:t>
      </w:r>
      <w:hyperlink r:id="rId7" w:tgtFrame="_blank" w:history="1">
        <w:r>
          <w:rPr>
            <w:rStyle w:val="Lienhypertexte"/>
          </w:rPr>
          <w:t>inspection du travail</w:t>
        </w:r>
      </w:hyperlink>
      <w:r>
        <w:t xml:space="preserve"> interviendra très rarement contre un salarié. </w:t>
      </w:r>
      <w:r>
        <w:br/>
        <w:t xml:space="preserve">N'oubliez pas aussi que vous disposez d'un moyen de communication : les tracts. Mais en évitant la polémique : relater du factuel, pas de commentaires superflus et en appuyant bien sur l'objectif ultime, la défense des </w:t>
      </w:r>
      <w:hyperlink r:id="rId8" w:tgtFrame="_blank" w:history="1">
        <w:r>
          <w:rPr>
            <w:rStyle w:val="Lienhypertexte"/>
          </w:rPr>
          <w:t>Droits</w:t>
        </w:r>
      </w:hyperlink>
      <w:r>
        <w:t xml:space="preserve"> des salariés (Ceux-ci n'aiment pas les disputes intersyndicales)</w:t>
      </w:r>
      <w:r>
        <w:br/>
        <w:t>cdt. </w:t>
      </w:r>
    </w:p>
    <w:p w:rsidR="003B2BAA" w:rsidRDefault="003B2BAA"/>
    <w:p w:rsidR="003B2BAA" w:rsidRDefault="003B2BAA" w:rsidP="00A72615">
      <w:pPr>
        <w:ind w:left="708" w:hanging="708"/>
      </w:pPr>
      <w:r>
        <w:t>poser vos questions en questions diverses</w:t>
      </w:r>
    </w:p>
    <w:p w:rsidR="003B2BAA" w:rsidRDefault="003B2BAA">
      <w:r>
        <w:t>L</w:t>
      </w:r>
      <w:r>
        <w:t>a secrétaire CE refuse de</w:t>
      </w:r>
      <w:r>
        <w:t>s</w:t>
      </w:r>
      <w:r>
        <w:t xml:space="preserve"> ques</w:t>
      </w:r>
      <w:r>
        <w:t xml:space="preserve">tions à l'ordre du jour </w:t>
      </w:r>
    </w:p>
    <w:p w:rsidR="00A72615" w:rsidRDefault="00A72615">
      <w:r>
        <w:t>Quiconque porte atteinte à la constitution ou au fonctionnement des institutions représentatives du personnel peut être poursuivi pénalement pour délit d'entrave. Ainsi, un employeur peut être condamné à ce titre, mais qu’un représentant du personnel, voire un salarié de l'entreprise peut l’être également.</w:t>
      </w:r>
      <w:r>
        <w:br/>
        <w:t xml:space="preserve">L'entrave peut se caractériser à deux niveaux : soit en visant directement une institution représentative du personnel ou l'exercice du droit syndical, soit en visant le titulaire d'un mandat représentatif (un </w:t>
      </w:r>
      <w:hyperlink r:id="rId9" w:tgtFrame="_blank" w:history="1">
        <w:r>
          <w:rPr>
            <w:rStyle w:val="Lienhypertexte"/>
          </w:rPr>
          <w:t>délégué du personnel</w:t>
        </w:r>
      </w:hyperlink>
      <w:r>
        <w:t>, un membre du comité d’entreprise, etc.).</w:t>
      </w:r>
      <w:r>
        <w:br/>
        <w:t>Autant dire que le champ d’application du délit d’entrave est vaste et il est parfois délicat d’être irréprochable en la matière !</w:t>
      </w:r>
      <w:r>
        <w:br/>
        <w:t>Art. 2346-1 du code du travail</w:t>
      </w:r>
      <w:r>
        <w:br/>
        <w:t>Cordialement.</w:t>
      </w:r>
    </w:p>
    <w:p w:rsidR="00401394" w:rsidRDefault="00401394"/>
    <w:p w:rsidR="00401394" w:rsidRDefault="00401394"/>
    <w:p w:rsidR="00401394" w:rsidRPr="00401394" w:rsidRDefault="00401394" w:rsidP="00401394">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401394">
        <w:rPr>
          <w:rFonts w:ascii="Times New Roman" w:eastAsia="Times New Roman" w:hAnsi="Times New Roman" w:cs="Times New Roman"/>
          <w:color w:val="FF0000"/>
          <w:sz w:val="24"/>
          <w:szCs w:val="24"/>
          <w:lang w:eastAsia="fr-FR"/>
        </w:rPr>
        <w:lastRenderedPageBreak/>
        <w:t xml:space="preserve">Il est impératif </w:t>
      </w:r>
      <w:r w:rsidRPr="00637669">
        <w:rPr>
          <w:rFonts w:ascii="Times New Roman" w:eastAsia="Times New Roman" w:hAnsi="Times New Roman" w:cs="Times New Roman"/>
          <w:b/>
          <w:bCs/>
          <w:color w:val="FF0000"/>
          <w:sz w:val="24"/>
          <w:szCs w:val="24"/>
          <w:lang w:eastAsia="fr-FR"/>
        </w:rPr>
        <w:t>d’informer les salariés</w:t>
      </w:r>
      <w:r w:rsidRPr="00401394">
        <w:rPr>
          <w:rFonts w:ascii="Times New Roman" w:eastAsia="Times New Roman" w:hAnsi="Times New Roman" w:cs="Times New Roman"/>
          <w:color w:val="FF0000"/>
          <w:sz w:val="24"/>
          <w:szCs w:val="24"/>
          <w:lang w:eastAsia="fr-FR"/>
        </w:rPr>
        <w:t xml:space="preserve"> de la dénonciation de l’engagement </w:t>
      </w:r>
      <w:r w:rsidRPr="00637669">
        <w:rPr>
          <w:rFonts w:ascii="Times New Roman" w:eastAsia="Times New Roman" w:hAnsi="Times New Roman" w:cs="Times New Roman"/>
          <w:b/>
          <w:bCs/>
          <w:color w:val="FF0000"/>
          <w:sz w:val="24"/>
          <w:szCs w:val="24"/>
          <w:lang w:eastAsia="fr-FR"/>
        </w:rPr>
        <w:t>par courrier</w:t>
      </w:r>
      <w:r w:rsidRPr="00401394">
        <w:rPr>
          <w:rFonts w:ascii="Times New Roman" w:eastAsia="Times New Roman" w:hAnsi="Times New Roman" w:cs="Times New Roman"/>
          <w:color w:val="FF0000"/>
          <w:sz w:val="24"/>
          <w:szCs w:val="24"/>
          <w:lang w:eastAsia="fr-FR"/>
        </w:rPr>
        <w:t>. L’information par voie d’affichage n’est pas suffisante.</w:t>
      </w:r>
    </w:p>
    <w:p w:rsidR="00401394" w:rsidRDefault="00401394" w:rsidP="00401394">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401394">
        <w:rPr>
          <w:rFonts w:ascii="Times New Roman" w:eastAsia="Times New Roman" w:hAnsi="Times New Roman" w:cs="Times New Roman"/>
          <w:color w:val="FF0000"/>
          <w:sz w:val="24"/>
          <w:szCs w:val="24"/>
          <w:lang w:eastAsia="fr-FR"/>
        </w:rPr>
        <w:t xml:space="preserve">L’employeur doit informer </w:t>
      </w:r>
      <w:r w:rsidRPr="00637669">
        <w:rPr>
          <w:rFonts w:ascii="Times New Roman" w:eastAsia="Times New Roman" w:hAnsi="Times New Roman" w:cs="Times New Roman"/>
          <w:b/>
          <w:bCs/>
          <w:color w:val="FF0000"/>
          <w:sz w:val="24"/>
          <w:szCs w:val="24"/>
          <w:lang w:eastAsia="fr-FR"/>
        </w:rPr>
        <w:t>tous les salariés concernés</w:t>
      </w:r>
      <w:r w:rsidRPr="00401394">
        <w:rPr>
          <w:rFonts w:ascii="Times New Roman" w:eastAsia="Times New Roman" w:hAnsi="Times New Roman" w:cs="Times New Roman"/>
          <w:color w:val="FF0000"/>
          <w:sz w:val="24"/>
          <w:szCs w:val="24"/>
          <w:lang w:eastAsia="fr-FR"/>
        </w:rPr>
        <w:t>, c’est-à-dire tous ceux qui bénéficient effectivement de l’engagement unilatéral au jour de sa dénonciation, mais également ceux qui auraient pu en profiter.</w:t>
      </w:r>
    </w:p>
    <w:p w:rsidR="00637669" w:rsidRPr="00637669" w:rsidRDefault="00637669" w:rsidP="00401394">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637669">
        <w:rPr>
          <w:color w:val="FF0000"/>
        </w:rPr>
        <w:t>La Cour de cassation ne fait pas de distinction entre droits acquis et droits éventuels : tous les salariés présents dans l'entreprise à la date de la dénonciation de l'engagement unilatéral devaient être informés individuellement (</w:t>
      </w:r>
      <w:r w:rsidRPr="00637669">
        <w:rPr>
          <w:rStyle w:val="zref"/>
          <w:color w:val="FF0000"/>
        </w:rPr>
        <w:t>Cass. soc., 30 mars 2011, nº 09-68.723</w:t>
      </w:r>
      <w:r w:rsidRPr="00637669">
        <w:rPr>
          <w:color w:val="FF0000"/>
        </w:rPr>
        <w:t>).</w:t>
      </w:r>
    </w:p>
    <w:p w:rsidR="00637669" w:rsidRDefault="000D2824" w:rsidP="00401394">
      <w:pPr>
        <w:spacing w:before="100" w:beforeAutospacing="1" w:after="100" w:afterAutospacing="1" w:line="240" w:lineRule="auto"/>
        <w:rPr>
          <w:color w:val="FF0000"/>
        </w:rPr>
      </w:pPr>
      <w:r w:rsidRPr="000D2824">
        <w:rPr>
          <w:color w:val="FF0000"/>
        </w:rPr>
        <w:t>Comme pour un usage, la dénonciation d'un engagement unilatéral doit notamment, pour être efficace, donner lieu à une information individuelle de chaque salarié y compris si le droit ainsi remis en cause n'était qu'éventuel pour certains salariés.</w:t>
      </w:r>
    </w:p>
    <w:p w:rsidR="00972B33" w:rsidRDefault="00972B33" w:rsidP="00401394">
      <w:pPr>
        <w:spacing w:before="100" w:beforeAutospacing="1" w:after="100" w:afterAutospacing="1" w:line="240" w:lineRule="auto"/>
        <w:rPr>
          <w:color w:val="FF0000"/>
        </w:rPr>
      </w:pPr>
      <w:r w:rsidRPr="00972B33">
        <w:rPr>
          <w:rStyle w:val="lev"/>
          <w:color w:val="FF0000"/>
        </w:rPr>
        <w:t>Les juges considèrent</w:t>
      </w:r>
      <w:r w:rsidRPr="00972B33">
        <w:rPr>
          <w:color w:val="FF0000"/>
        </w:rPr>
        <w:t xml:space="preserve"> que la dénonciation de l'engagement unilatéral de l'employeur instaurant une </w:t>
      </w:r>
      <w:hyperlink r:id="rId10" w:history="1">
        <w:r w:rsidRPr="00972B33">
          <w:rPr>
            <w:rStyle w:val="Lienhypertexte"/>
            <w:color w:val="FF0000"/>
          </w:rPr>
          <w:t xml:space="preserve">prime de fidélité </w:t>
        </w:r>
      </w:hyperlink>
      <w:r w:rsidRPr="00972B33">
        <w:rPr>
          <w:color w:val="FF0000"/>
        </w:rPr>
        <w:t xml:space="preserve">n'était pas valable et donc inopposable au salarié. Les juges rappellent à cet effet que la dénonciation régulière d'un engagement unilatéral suppose l'information, tant des </w:t>
      </w:r>
      <w:hyperlink r:id="rId11" w:history="1">
        <w:r w:rsidRPr="00972B33">
          <w:rPr>
            <w:rStyle w:val="Lienhypertexte"/>
            <w:color w:val="FF0000"/>
          </w:rPr>
          <w:t>institutions représentatives du personnel</w:t>
        </w:r>
      </w:hyperlink>
      <w:r w:rsidRPr="00972B33">
        <w:rPr>
          <w:color w:val="FF0000"/>
        </w:rPr>
        <w:t xml:space="preserve"> que des salariés présents dans l'entreprise à la date de cette dénonciation.</w:t>
      </w:r>
    </w:p>
    <w:p w:rsidR="002608E1" w:rsidRPr="002608E1" w:rsidRDefault="002608E1" w:rsidP="002608E1">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2608E1">
        <w:rPr>
          <w:rFonts w:ascii="Times New Roman" w:eastAsia="Times New Roman" w:hAnsi="Times New Roman" w:cs="Times New Roman"/>
          <w:color w:val="FF0000"/>
          <w:sz w:val="24"/>
          <w:szCs w:val="24"/>
          <w:lang w:eastAsia="fr-FR"/>
        </w:rPr>
        <w:t>L'engagement unilatéral et l'</w:t>
      </w:r>
      <w:hyperlink r:id="rId12" w:history="1">
        <w:r w:rsidRPr="002608E1">
          <w:rPr>
            <w:rFonts w:ascii="Times New Roman" w:eastAsia="Times New Roman" w:hAnsi="Times New Roman" w:cs="Times New Roman"/>
            <w:color w:val="FF0000"/>
            <w:sz w:val="24"/>
            <w:szCs w:val="24"/>
            <w:u w:val="single"/>
            <w:lang w:eastAsia="fr-FR"/>
          </w:rPr>
          <w:t>usage</w:t>
        </w:r>
      </w:hyperlink>
      <w:r w:rsidRPr="002608E1">
        <w:rPr>
          <w:rFonts w:ascii="Times New Roman" w:eastAsia="Times New Roman" w:hAnsi="Times New Roman" w:cs="Times New Roman"/>
          <w:color w:val="FF0000"/>
          <w:sz w:val="24"/>
          <w:szCs w:val="24"/>
          <w:lang w:eastAsia="fr-FR"/>
        </w:rPr>
        <w:t xml:space="preserve"> sont soumis au même régime notamment s'agissant de leur modification ou de leur suppression (qui passe nécessairement par une dénonciation). Les engagements unilatéraux ont force obligatoire mais parce qu'ils n'en remplissent pas les conditions de validité, ils n'ont ni la valeur ni les effets d'un accord collectif.</w:t>
      </w:r>
    </w:p>
    <w:p w:rsidR="002608E1" w:rsidRPr="002608E1" w:rsidRDefault="002608E1" w:rsidP="002608E1">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2608E1">
        <w:rPr>
          <w:rFonts w:ascii="Times New Roman" w:eastAsia="Times New Roman" w:hAnsi="Times New Roman" w:cs="Times New Roman"/>
          <w:i/>
          <w:iCs/>
          <w:color w:val="FF0000"/>
          <w:sz w:val="24"/>
          <w:szCs w:val="24"/>
          <w:lang w:eastAsia="fr-FR"/>
        </w:rPr>
        <w:t xml:space="preserve">Arrêt de la Chambre sociale de la Cour de cassation du 30 mars 2011. N° de pourvoi : 09-68723. </w:t>
      </w:r>
    </w:p>
    <w:p w:rsidR="00F864A3" w:rsidRPr="00F864A3" w:rsidRDefault="00F864A3" w:rsidP="00F864A3">
      <w:pPr>
        <w:spacing w:after="0" w:line="240" w:lineRule="auto"/>
        <w:rPr>
          <w:rFonts w:ascii="Arial" w:eastAsia="Times New Roman" w:hAnsi="Arial" w:cs="Arial"/>
          <w:color w:val="FF0000"/>
          <w:sz w:val="30"/>
          <w:szCs w:val="30"/>
          <w:lang w:eastAsia="fr-FR"/>
        </w:rPr>
      </w:pPr>
      <w:r w:rsidRPr="00F864A3">
        <w:rPr>
          <w:rFonts w:ascii="Arial" w:eastAsia="Times New Roman" w:hAnsi="Arial" w:cs="Arial"/>
          <w:color w:val="FF0000"/>
          <w:sz w:val="30"/>
          <w:szCs w:val="30"/>
          <w:lang w:eastAsia="fr-FR"/>
        </w:rPr>
        <w:t>C'est la jurisprudence qui en a formulé la définition :</w:t>
      </w:r>
    </w:p>
    <w:p w:rsidR="00F864A3" w:rsidRPr="00F864A3" w:rsidRDefault="00F864A3" w:rsidP="00F864A3">
      <w:pPr>
        <w:spacing w:after="0" w:line="240" w:lineRule="auto"/>
        <w:rPr>
          <w:rFonts w:ascii="Arial" w:eastAsia="Times New Roman" w:hAnsi="Arial" w:cs="Arial"/>
          <w:color w:val="FF0000"/>
          <w:sz w:val="30"/>
          <w:szCs w:val="30"/>
          <w:lang w:eastAsia="fr-FR"/>
        </w:rPr>
      </w:pPr>
      <w:r w:rsidRPr="00F864A3">
        <w:rPr>
          <w:rFonts w:ascii="Arial" w:eastAsia="Times New Roman" w:hAnsi="Arial" w:cs="Arial"/>
          <w:color w:val="FF0000"/>
          <w:sz w:val="30"/>
          <w:szCs w:val="30"/>
          <w:lang w:eastAsia="fr-FR"/>
        </w:rPr>
        <w:t>" Un usage correspond à une pratique habituellement</w:t>
      </w:r>
    </w:p>
    <w:p w:rsidR="00F864A3" w:rsidRPr="00F864A3" w:rsidRDefault="00F864A3" w:rsidP="00F864A3">
      <w:pPr>
        <w:spacing w:after="0" w:line="240" w:lineRule="auto"/>
        <w:rPr>
          <w:rFonts w:ascii="Arial" w:eastAsia="Times New Roman" w:hAnsi="Arial" w:cs="Arial"/>
          <w:color w:val="FF0000"/>
          <w:sz w:val="30"/>
          <w:szCs w:val="30"/>
          <w:lang w:eastAsia="fr-FR"/>
        </w:rPr>
      </w:pPr>
      <w:r w:rsidRPr="00F864A3">
        <w:rPr>
          <w:rFonts w:ascii="Arial" w:eastAsia="Times New Roman" w:hAnsi="Arial" w:cs="Arial"/>
          <w:color w:val="FF0000"/>
          <w:sz w:val="30"/>
          <w:szCs w:val="30"/>
          <w:lang w:eastAsia="fr-FR"/>
        </w:rPr>
        <w:t>suivie dans l'entreprise, constitutive d'un av</w:t>
      </w:r>
    </w:p>
    <w:p w:rsidR="00F864A3" w:rsidRPr="00F864A3" w:rsidRDefault="00F864A3" w:rsidP="00F864A3">
      <w:pPr>
        <w:spacing w:after="0" w:line="240" w:lineRule="auto"/>
        <w:rPr>
          <w:rFonts w:ascii="Arial" w:eastAsia="Times New Roman" w:hAnsi="Arial" w:cs="Arial"/>
          <w:color w:val="FF0000"/>
          <w:sz w:val="30"/>
          <w:szCs w:val="30"/>
          <w:lang w:eastAsia="fr-FR"/>
        </w:rPr>
      </w:pPr>
      <w:r w:rsidRPr="00F864A3">
        <w:rPr>
          <w:rFonts w:ascii="Arial" w:eastAsia="Times New Roman" w:hAnsi="Arial" w:cs="Arial"/>
          <w:color w:val="FF0000"/>
          <w:sz w:val="30"/>
          <w:szCs w:val="30"/>
          <w:lang w:eastAsia="fr-FR"/>
        </w:rPr>
        <w:t>antage supplémentaire par rapport à la loi, la convention collective</w:t>
      </w:r>
    </w:p>
    <w:p w:rsidR="00F864A3" w:rsidRPr="00F864A3" w:rsidRDefault="00F864A3" w:rsidP="00F864A3">
      <w:pPr>
        <w:spacing w:after="0" w:line="240" w:lineRule="auto"/>
        <w:rPr>
          <w:rFonts w:ascii="Arial" w:eastAsia="Times New Roman" w:hAnsi="Arial" w:cs="Arial"/>
          <w:color w:val="FF0000"/>
          <w:sz w:val="30"/>
          <w:szCs w:val="30"/>
          <w:lang w:eastAsia="fr-FR"/>
        </w:rPr>
      </w:pPr>
      <w:r w:rsidRPr="00F864A3">
        <w:rPr>
          <w:rFonts w:ascii="Arial" w:eastAsia="Times New Roman" w:hAnsi="Arial" w:cs="Arial"/>
          <w:color w:val="FF0000"/>
          <w:sz w:val="30"/>
          <w:szCs w:val="30"/>
          <w:lang w:eastAsia="fr-FR"/>
        </w:rPr>
        <w:t>ou le contrat de travail, accordé aux salariés ou à une catégorie d'entre eux" (Cass. soc., 16 mars 1989, n°</w:t>
      </w:r>
    </w:p>
    <w:p w:rsidR="00F864A3" w:rsidRPr="00F864A3" w:rsidRDefault="00F864A3" w:rsidP="00F864A3">
      <w:pPr>
        <w:spacing w:after="0" w:line="240" w:lineRule="auto"/>
        <w:rPr>
          <w:rFonts w:ascii="Arial" w:eastAsia="Times New Roman" w:hAnsi="Arial" w:cs="Arial"/>
          <w:color w:val="FF0000"/>
          <w:sz w:val="30"/>
          <w:szCs w:val="30"/>
          <w:lang w:eastAsia="fr-FR"/>
        </w:rPr>
      </w:pPr>
      <w:r w:rsidRPr="00F864A3">
        <w:rPr>
          <w:rFonts w:ascii="Arial" w:eastAsia="Times New Roman" w:hAnsi="Arial" w:cs="Arial"/>
          <w:color w:val="FF0000"/>
          <w:sz w:val="30"/>
          <w:szCs w:val="30"/>
          <w:lang w:eastAsia="fr-FR"/>
        </w:rPr>
        <w:t>86</w:t>
      </w:r>
    </w:p>
    <w:p w:rsidR="00F864A3" w:rsidRPr="00F864A3" w:rsidRDefault="00F864A3" w:rsidP="00F864A3">
      <w:pPr>
        <w:spacing w:after="0" w:line="240" w:lineRule="auto"/>
        <w:rPr>
          <w:rFonts w:ascii="Arial" w:eastAsia="Times New Roman" w:hAnsi="Arial" w:cs="Arial"/>
          <w:color w:val="FF0000"/>
          <w:sz w:val="30"/>
          <w:szCs w:val="30"/>
          <w:lang w:eastAsia="fr-FR"/>
        </w:rPr>
      </w:pPr>
      <w:r w:rsidRPr="00F864A3">
        <w:rPr>
          <w:rFonts w:ascii="Arial" w:eastAsia="Times New Roman" w:hAnsi="Arial" w:cs="Arial"/>
          <w:color w:val="FF0000"/>
          <w:sz w:val="30"/>
          <w:szCs w:val="30"/>
          <w:lang w:eastAsia="fr-FR"/>
        </w:rPr>
        <w:t>-</w:t>
      </w:r>
    </w:p>
    <w:p w:rsidR="00F864A3" w:rsidRDefault="00F864A3" w:rsidP="00F864A3">
      <w:pPr>
        <w:spacing w:after="0" w:line="240" w:lineRule="auto"/>
        <w:rPr>
          <w:rFonts w:ascii="Arial" w:eastAsia="Times New Roman" w:hAnsi="Arial" w:cs="Arial"/>
          <w:color w:val="FF0000"/>
          <w:sz w:val="30"/>
          <w:szCs w:val="30"/>
          <w:lang w:eastAsia="fr-FR"/>
        </w:rPr>
      </w:pPr>
      <w:r w:rsidRPr="00F864A3">
        <w:rPr>
          <w:rFonts w:ascii="Arial" w:eastAsia="Times New Roman" w:hAnsi="Arial" w:cs="Arial"/>
          <w:color w:val="FF0000"/>
          <w:sz w:val="30"/>
          <w:szCs w:val="30"/>
          <w:lang w:eastAsia="fr-FR"/>
        </w:rPr>
        <w:t>41.619).</w:t>
      </w:r>
    </w:p>
    <w:p w:rsidR="002B7249" w:rsidRDefault="002B7249" w:rsidP="00F864A3">
      <w:pPr>
        <w:spacing w:after="0" w:line="240" w:lineRule="auto"/>
        <w:rPr>
          <w:rFonts w:ascii="Arial" w:eastAsia="Times New Roman" w:hAnsi="Arial" w:cs="Arial"/>
          <w:color w:val="FF0000"/>
          <w:sz w:val="30"/>
          <w:szCs w:val="30"/>
          <w:lang w:eastAsia="fr-FR"/>
        </w:rPr>
      </w:pPr>
    </w:p>
    <w:p w:rsidR="002B7249" w:rsidRPr="002B7249" w:rsidRDefault="002B7249" w:rsidP="002B7249">
      <w:pPr>
        <w:spacing w:after="0" w:line="240" w:lineRule="auto"/>
        <w:rPr>
          <w:rFonts w:ascii="Arial" w:eastAsia="Times New Roman" w:hAnsi="Arial" w:cs="Arial"/>
          <w:color w:val="FF0000"/>
          <w:sz w:val="30"/>
          <w:szCs w:val="30"/>
          <w:lang w:eastAsia="fr-FR"/>
        </w:rPr>
      </w:pPr>
      <w:r w:rsidRPr="002B7249">
        <w:rPr>
          <w:rFonts w:ascii="Arial" w:eastAsia="Times New Roman" w:hAnsi="Arial" w:cs="Arial"/>
          <w:color w:val="FF0000"/>
          <w:sz w:val="30"/>
          <w:szCs w:val="30"/>
          <w:lang w:eastAsia="fr-FR"/>
        </w:rPr>
        <w:t>L'avantage bénéficie à l'ensemble des salariés ou, tout au moins, à une catégorie déterminée d'entre eux</w:t>
      </w:r>
    </w:p>
    <w:p w:rsidR="002B7249" w:rsidRPr="002B7249" w:rsidRDefault="002B7249" w:rsidP="002B7249">
      <w:pPr>
        <w:spacing w:after="0" w:line="240" w:lineRule="auto"/>
        <w:rPr>
          <w:rFonts w:ascii="Arial" w:eastAsia="Times New Roman" w:hAnsi="Arial" w:cs="Arial"/>
          <w:color w:val="FF0000"/>
          <w:sz w:val="30"/>
          <w:szCs w:val="30"/>
          <w:lang w:eastAsia="fr-FR"/>
        </w:rPr>
      </w:pPr>
      <w:r w:rsidRPr="002B7249">
        <w:rPr>
          <w:rFonts w:ascii="Arial" w:eastAsia="Times New Roman" w:hAnsi="Arial" w:cs="Arial"/>
          <w:color w:val="FF0000"/>
          <w:sz w:val="30"/>
          <w:szCs w:val="30"/>
          <w:lang w:eastAsia="fr-FR"/>
        </w:rPr>
        <w:t>(Cass. soc., 27 mai 1987, n° 82</w:t>
      </w:r>
    </w:p>
    <w:p w:rsidR="002B7249" w:rsidRPr="002B7249" w:rsidRDefault="002B7249" w:rsidP="002B7249">
      <w:pPr>
        <w:spacing w:after="0" w:line="240" w:lineRule="auto"/>
        <w:rPr>
          <w:rFonts w:ascii="Arial" w:eastAsia="Times New Roman" w:hAnsi="Arial" w:cs="Arial"/>
          <w:color w:val="FF0000"/>
          <w:sz w:val="30"/>
          <w:szCs w:val="30"/>
          <w:lang w:eastAsia="fr-FR"/>
        </w:rPr>
      </w:pPr>
      <w:r w:rsidRPr="002B7249">
        <w:rPr>
          <w:rFonts w:ascii="Arial" w:eastAsia="Times New Roman" w:hAnsi="Arial" w:cs="Arial"/>
          <w:color w:val="FF0000"/>
          <w:sz w:val="30"/>
          <w:szCs w:val="30"/>
          <w:lang w:eastAsia="fr-FR"/>
        </w:rPr>
        <w:t>-</w:t>
      </w:r>
    </w:p>
    <w:p w:rsidR="002B7249" w:rsidRDefault="002B7249" w:rsidP="002B7249">
      <w:pPr>
        <w:spacing w:after="0" w:line="240" w:lineRule="auto"/>
        <w:rPr>
          <w:rFonts w:ascii="Arial" w:eastAsia="Times New Roman" w:hAnsi="Arial" w:cs="Arial"/>
          <w:color w:val="FF0000"/>
          <w:sz w:val="30"/>
          <w:szCs w:val="30"/>
          <w:lang w:eastAsia="fr-FR"/>
        </w:rPr>
      </w:pPr>
      <w:r w:rsidRPr="002B7249">
        <w:rPr>
          <w:rFonts w:ascii="Arial" w:eastAsia="Times New Roman" w:hAnsi="Arial" w:cs="Arial"/>
          <w:color w:val="FF0000"/>
          <w:sz w:val="30"/>
          <w:szCs w:val="30"/>
          <w:lang w:eastAsia="fr-FR"/>
        </w:rPr>
        <w:t>42.115)</w:t>
      </w:r>
    </w:p>
    <w:p w:rsidR="00FE6200" w:rsidRDefault="00FE6200" w:rsidP="002B7249">
      <w:pPr>
        <w:spacing w:after="0" w:line="240" w:lineRule="auto"/>
        <w:rPr>
          <w:rFonts w:ascii="Arial" w:eastAsia="Times New Roman" w:hAnsi="Arial" w:cs="Arial"/>
          <w:color w:val="FF0000"/>
          <w:sz w:val="30"/>
          <w:szCs w:val="30"/>
          <w:lang w:eastAsia="fr-FR"/>
        </w:rPr>
      </w:pPr>
    </w:p>
    <w:p w:rsidR="00FE6200" w:rsidRPr="002B7249" w:rsidRDefault="00FE6200" w:rsidP="002B7249">
      <w:pPr>
        <w:spacing w:after="0" w:line="240" w:lineRule="auto"/>
        <w:rPr>
          <w:rFonts w:ascii="Arial" w:eastAsia="Times New Roman" w:hAnsi="Arial" w:cs="Arial"/>
          <w:color w:val="FF0000"/>
          <w:sz w:val="30"/>
          <w:szCs w:val="30"/>
          <w:lang w:eastAsia="fr-FR"/>
        </w:rPr>
      </w:pPr>
      <w:r w:rsidRPr="00FE6200">
        <w:rPr>
          <w:rFonts w:ascii="Arial" w:eastAsia="Times New Roman" w:hAnsi="Arial" w:cs="Arial"/>
          <w:color w:val="FF0000"/>
          <w:sz w:val="30"/>
          <w:szCs w:val="30"/>
          <w:lang w:eastAsia="fr-FR"/>
        </w:rPr>
        <w:lastRenderedPageBreak/>
        <w:t>http://expert-comptable.pwc.fr/fr/actualite-sociale/2011/t2/remise-en-cause-d-un-usage-durcissement-de-jurisprudence-confirme.jhtml</w:t>
      </w:r>
    </w:p>
    <w:p w:rsidR="002B7249" w:rsidRPr="00F864A3" w:rsidRDefault="002B7249" w:rsidP="00F864A3">
      <w:pPr>
        <w:spacing w:after="0" w:line="240" w:lineRule="auto"/>
        <w:rPr>
          <w:rFonts w:ascii="Arial" w:eastAsia="Times New Roman" w:hAnsi="Arial" w:cs="Arial"/>
          <w:color w:val="FF0000"/>
          <w:sz w:val="30"/>
          <w:szCs w:val="30"/>
          <w:lang w:eastAsia="fr-FR"/>
        </w:rPr>
      </w:pPr>
    </w:p>
    <w:p w:rsidR="002608E1" w:rsidRPr="00401394" w:rsidRDefault="002608E1" w:rsidP="00401394">
      <w:pPr>
        <w:spacing w:before="100" w:beforeAutospacing="1" w:after="100" w:afterAutospacing="1" w:line="240" w:lineRule="auto"/>
        <w:rPr>
          <w:rFonts w:ascii="Times New Roman" w:eastAsia="Times New Roman" w:hAnsi="Times New Roman" w:cs="Times New Roman"/>
          <w:color w:val="FF0000"/>
          <w:sz w:val="24"/>
          <w:szCs w:val="24"/>
          <w:lang w:eastAsia="fr-FR"/>
        </w:rPr>
      </w:pPr>
    </w:p>
    <w:p w:rsidR="00401394" w:rsidRDefault="004B2C0F">
      <w:r>
        <w:t>L'employeur peut limiter les effets de la dénonciation en la réservant aux seuls salariés nouvellement embauchés dès lors qu'il ne commet pas de discrimination (</w:t>
      </w:r>
      <w:hyperlink r:id="rId13" w:history="1">
        <w:r>
          <w:rPr>
            <w:rStyle w:val="Lienhypertexte"/>
          </w:rPr>
          <w:t>Cass. soc., 17 juin 1992, n</w:t>
        </w:r>
        <w:r>
          <w:rPr>
            <w:rStyle w:val="Lienhypertexte"/>
            <w:vertAlign w:val="superscript"/>
          </w:rPr>
          <w:t>o</w:t>
        </w:r>
        <w:r>
          <w:rPr>
            <w:rStyle w:val="Lienhypertexte"/>
          </w:rPr>
          <w:t> 89-40.326</w:t>
        </w:r>
      </w:hyperlink>
      <w:r>
        <w:t>) et qu'il a pour cela des raisons objectives et pertinentes (voir n</w:t>
      </w:r>
      <w:r>
        <w:rPr>
          <w:vertAlign w:val="superscript"/>
        </w:rPr>
        <w:t xml:space="preserve">o </w:t>
      </w:r>
      <w:r>
        <w:t>105-100).</w:t>
      </w:r>
    </w:p>
    <w:p w:rsidR="004B2C0F" w:rsidRDefault="00BC0EF2">
      <w:hyperlink r:id="rId14" w:history="1">
        <w:r w:rsidRPr="00786884">
          <w:rPr>
            <w:rStyle w:val="Lienhypertexte"/>
          </w:rPr>
          <w:t>http://www.wk-rh.fr/preview/BeDhHlCfJnJmEiBeEhHl/editionXHTML/glpq/105-135_-_l_employeur_peut-il_remettre_en_cause_ses_engagements_les_usages_ou_les_accords_atypiques_/105-135_-_l_employeur_peut-il_remettre_en_cause_ses_engagements_les_usages_ou_les_accords_atypiques_</w:t>
        </w:r>
      </w:hyperlink>
    </w:p>
    <w:p w:rsidR="00BC0EF2" w:rsidRDefault="00BC0EF2"/>
    <w:p w:rsidR="00BC0EF2" w:rsidRDefault="00BC0EF2">
      <w:pPr>
        <w:rPr>
          <w:color w:val="FF0000"/>
        </w:rPr>
      </w:pPr>
      <w:r w:rsidRPr="00BC0EF2">
        <w:rPr>
          <w:color w:val="FF0000"/>
        </w:rPr>
        <w:t>Pour la Cour de cassation, cet argument n'est pas suffisant. Elle précise, et reprend en cela sa jurisprudence d'octobre 2010, que pour que la dénonciation d'un usage soit valable, tous les salariés présents dans l</w:t>
      </w:r>
      <w:r w:rsidR="002F4793">
        <w:rPr>
          <w:color w:val="FF0000"/>
        </w:rPr>
        <w:t>'entreprise à la date de la dén</w:t>
      </w:r>
      <w:r w:rsidRPr="00BC0EF2">
        <w:rPr>
          <w:color w:val="FF0000"/>
        </w:rPr>
        <w:t>nciation doivent être individuellement informés, sans qu'il y ait lieu de s'interroger sur le caractère acquis ou éventuel du droit dénoncé. A défaut, la suppression ou la modification de l'usage est inopposable au salarié.</w:t>
      </w:r>
    </w:p>
    <w:p w:rsidR="002F4793" w:rsidRDefault="002F4793">
      <w:pPr>
        <w:rPr>
          <w:color w:val="FF0000"/>
        </w:rPr>
      </w:pPr>
    </w:p>
    <w:p w:rsidR="002F4793" w:rsidRDefault="002F4793">
      <w:pPr>
        <w:rPr>
          <w:color w:val="1F2A88"/>
        </w:rPr>
      </w:pPr>
      <w:r>
        <w:rPr>
          <w:b/>
          <w:bCs/>
          <w:color w:val="1F2A88"/>
        </w:rPr>
        <w:t>R</w:t>
      </w:r>
      <w:r>
        <w:rPr>
          <w:b/>
          <w:bCs/>
          <w:color w:val="1F2A88"/>
        </w:rPr>
        <w:t>espect par l´employeur des textes concernant les conditions de l´information des salariés et de leurs représentants</w:t>
      </w:r>
      <w:r>
        <w:rPr>
          <w:color w:val="1F2A88"/>
        </w:rPr>
        <w:t xml:space="preserve"> sur le droit conventionnel applicable dans l´entreprise.</w:t>
      </w:r>
    </w:p>
    <w:p w:rsidR="002F4793" w:rsidRDefault="002A0CD0">
      <w:pPr>
        <w:rPr>
          <w:color w:val="1F2A88"/>
        </w:rPr>
      </w:pPr>
      <w:r>
        <w:rPr>
          <w:color w:val="1F2A88"/>
        </w:rPr>
        <w:t>F</w:t>
      </w:r>
      <w:bookmarkStart w:id="0" w:name="_GoBack"/>
      <w:bookmarkEnd w:id="0"/>
      <w:r w:rsidR="002F4793">
        <w:rPr>
          <w:color w:val="1F2A88"/>
        </w:rPr>
        <w:t xml:space="preserve">ournir au salarié, au moment de l´embauche, une notice d´information </w:t>
      </w:r>
      <w:r>
        <w:rPr>
          <w:color w:val="1F2A88"/>
        </w:rPr>
        <w:t xml:space="preserve">et ou communications </w:t>
      </w:r>
      <w:r w:rsidR="002F4793">
        <w:rPr>
          <w:color w:val="1F2A88"/>
        </w:rPr>
        <w:t>relative aux textes conventionnels applicables dans l´entreprise ou l´établissement ;</w:t>
      </w:r>
    </w:p>
    <w:p w:rsidR="002F4793" w:rsidRDefault="002F4793" w:rsidP="002F4793">
      <w:pPr>
        <w:pStyle w:val="Paragraphedeliste"/>
        <w:numPr>
          <w:ilvl w:val="0"/>
          <w:numId w:val="2"/>
        </w:numPr>
        <w:rPr>
          <w:color w:val="FF0000"/>
        </w:rPr>
      </w:pPr>
      <w:r>
        <w:rPr>
          <w:color w:val="FF0000"/>
        </w:rPr>
        <w:t xml:space="preserve">Eligibilité </w:t>
      </w:r>
    </w:p>
    <w:p w:rsidR="002F4793" w:rsidRPr="002F4793" w:rsidRDefault="002F4793" w:rsidP="002F4793">
      <w:pPr>
        <w:pStyle w:val="Paragraphedeliste"/>
        <w:numPr>
          <w:ilvl w:val="0"/>
          <w:numId w:val="2"/>
        </w:numPr>
        <w:rPr>
          <w:color w:val="FF0000"/>
        </w:rPr>
      </w:pPr>
      <w:r>
        <w:rPr>
          <w:color w:val="FF0000"/>
        </w:rPr>
        <w:t>Classification ou grading ONSEMI</w:t>
      </w:r>
    </w:p>
    <w:sectPr w:rsidR="002F4793" w:rsidRPr="002F47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229D9"/>
    <w:multiLevelType w:val="hybridMultilevel"/>
    <w:tmpl w:val="4F329CE4"/>
    <w:lvl w:ilvl="0" w:tplc="506212CA">
      <w:start w:val="42"/>
      <w:numFmt w:val="bullet"/>
      <w:lvlText w:val="-"/>
      <w:lvlJc w:val="left"/>
      <w:pPr>
        <w:ind w:left="720" w:hanging="360"/>
      </w:pPr>
      <w:rPr>
        <w:rFonts w:ascii="Calibri" w:eastAsiaTheme="minorHAnsi" w:hAnsi="Calibri" w:cstheme="minorBidi" w:hint="default"/>
        <w:color w:val="1F2A8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9AA4E28"/>
    <w:multiLevelType w:val="multilevel"/>
    <w:tmpl w:val="25CC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45E"/>
    <w:rsid w:val="0001721D"/>
    <w:rsid w:val="00050BBE"/>
    <w:rsid w:val="000C14A0"/>
    <w:rsid w:val="000D2824"/>
    <w:rsid w:val="001040F8"/>
    <w:rsid w:val="00171C9C"/>
    <w:rsid w:val="001A0F3D"/>
    <w:rsid w:val="002608E1"/>
    <w:rsid w:val="002A0CD0"/>
    <w:rsid w:val="002B7249"/>
    <w:rsid w:val="002F4793"/>
    <w:rsid w:val="003B2BAA"/>
    <w:rsid w:val="003E1C4A"/>
    <w:rsid w:val="00401394"/>
    <w:rsid w:val="0048245E"/>
    <w:rsid w:val="00493777"/>
    <w:rsid w:val="004B2BE5"/>
    <w:rsid w:val="004B2C0F"/>
    <w:rsid w:val="004C18C8"/>
    <w:rsid w:val="00637669"/>
    <w:rsid w:val="006714A9"/>
    <w:rsid w:val="006C51C8"/>
    <w:rsid w:val="006F4269"/>
    <w:rsid w:val="0070174D"/>
    <w:rsid w:val="00706468"/>
    <w:rsid w:val="008030F4"/>
    <w:rsid w:val="008544E1"/>
    <w:rsid w:val="00957301"/>
    <w:rsid w:val="00972B33"/>
    <w:rsid w:val="00A06324"/>
    <w:rsid w:val="00A10C4D"/>
    <w:rsid w:val="00A72615"/>
    <w:rsid w:val="00BC0EF2"/>
    <w:rsid w:val="00C00CA6"/>
    <w:rsid w:val="00E15E7F"/>
    <w:rsid w:val="00EC3575"/>
    <w:rsid w:val="00F864A3"/>
    <w:rsid w:val="00FE62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48245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8245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8245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x-warning">
    <w:name w:val="box-warning"/>
    <w:basedOn w:val="Normal"/>
    <w:rsid w:val="0048245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824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245E"/>
    <w:rPr>
      <w:rFonts w:ascii="Tahoma" w:hAnsi="Tahoma" w:cs="Tahoma"/>
      <w:sz w:val="16"/>
      <w:szCs w:val="16"/>
    </w:rPr>
  </w:style>
  <w:style w:type="paragraph" w:customStyle="1" w:styleId="spip">
    <w:name w:val="spip"/>
    <w:basedOn w:val="Normal"/>
    <w:rsid w:val="0070174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A0F3D"/>
    <w:rPr>
      <w:color w:val="0000FF"/>
      <w:u w:val="single"/>
    </w:rPr>
  </w:style>
  <w:style w:type="character" w:styleId="lev">
    <w:name w:val="Strong"/>
    <w:basedOn w:val="Policepardfaut"/>
    <w:uiPriority w:val="22"/>
    <w:qFormat/>
    <w:rsid w:val="00401394"/>
    <w:rPr>
      <w:b/>
      <w:bCs/>
    </w:rPr>
  </w:style>
  <w:style w:type="character" w:customStyle="1" w:styleId="zref">
    <w:name w:val="zref"/>
    <w:basedOn w:val="Policepardfaut"/>
    <w:rsid w:val="004B2C0F"/>
  </w:style>
  <w:style w:type="character" w:styleId="Accentuation">
    <w:name w:val="Emphasis"/>
    <w:basedOn w:val="Policepardfaut"/>
    <w:uiPriority w:val="20"/>
    <w:qFormat/>
    <w:rsid w:val="002608E1"/>
    <w:rPr>
      <w:i/>
      <w:iCs/>
    </w:rPr>
  </w:style>
  <w:style w:type="paragraph" w:styleId="Paragraphedeliste">
    <w:name w:val="List Paragraph"/>
    <w:basedOn w:val="Normal"/>
    <w:uiPriority w:val="34"/>
    <w:qFormat/>
    <w:rsid w:val="002F47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48245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8245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8245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x-warning">
    <w:name w:val="box-warning"/>
    <w:basedOn w:val="Normal"/>
    <w:rsid w:val="0048245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824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245E"/>
    <w:rPr>
      <w:rFonts w:ascii="Tahoma" w:hAnsi="Tahoma" w:cs="Tahoma"/>
      <w:sz w:val="16"/>
      <w:szCs w:val="16"/>
    </w:rPr>
  </w:style>
  <w:style w:type="paragraph" w:customStyle="1" w:styleId="spip">
    <w:name w:val="spip"/>
    <w:basedOn w:val="Normal"/>
    <w:rsid w:val="0070174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A0F3D"/>
    <w:rPr>
      <w:color w:val="0000FF"/>
      <w:u w:val="single"/>
    </w:rPr>
  </w:style>
  <w:style w:type="character" w:styleId="lev">
    <w:name w:val="Strong"/>
    <w:basedOn w:val="Policepardfaut"/>
    <w:uiPriority w:val="22"/>
    <w:qFormat/>
    <w:rsid w:val="00401394"/>
    <w:rPr>
      <w:b/>
      <w:bCs/>
    </w:rPr>
  </w:style>
  <w:style w:type="character" w:customStyle="1" w:styleId="zref">
    <w:name w:val="zref"/>
    <w:basedOn w:val="Policepardfaut"/>
    <w:rsid w:val="004B2C0F"/>
  </w:style>
  <w:style w:type="character" w:styleId="Accentuation">
    <w:name w:val="Emphasis"/>
    <w:basedOn w:val="Policepardfaut"/>
    <w:uiPriority w:val="20"/>
    <w:qFormat/>
    <w:rsid w:val="002608E1"/>
    <w:rPr>
      <w:i/>
      <w:iCs/>
    </w:rPr>
  </w:style>
  <w:style w:type="paragraph" w:styleId="Paragraphedeliste">
    <w:name w:val="List Paragraph"/>
    <w:basedOn w:val="Normal"/>
    <w:uiPriority w:val="34"/>
    <w:qFormat/>
    <w:rsid w:val="002F4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7705">
      <w:bodyDiv w:val="1"/>
      <w:marLeft w:val="0"/>
      <w:marRight w:val="0"/>
      <w:marTop w:val="0"/>
      <w:marBottom w:val="0"/>
      <w:divBdr>
        <w:top w:val="none" w:sz="0" w:space="0" w:color="auto"/>
        <w:left w:val="none" w:sz="0" w:space="0" w:color="auto"/>
        <w:bottom w:val="none" w:sz="0" w:space="0" w:color="auto"/>
        <w:right w:val="none" w:sz="0" w:space="0" w:color="auto"/>
      </w:divBdr>
    </w:div>
    <w:div w:id="67118700">
      <w:bodyDiv w:val="1"/>
      <w:marLeft w:val="0"/>
      <w:marRight w:val="0"/>
      <w:marTop w:val="0"/>
      <w:marBottom w:val="0"/>
      <w:divBdr>
        <w:top w:val="none" w:sz="0" w:space="0" w:color="auto"/>
        <w:left w:val="none" w:sz="0" w:space="0" w:color="auto"/>
        <w:bottom w:val="none" w:sz="0" w:space="0" w:color="auto"/>
        <w:right w:val="none" w:sz="0" w:space="0" w:color="auto"/>
      </w:divBdr>
    </w:div>
    <w:div w:id="117577517">
      <w:bodyDiv w:val="1"/>
      <w:marLeft w:val="0"/>
      <w:marRight w:val="0"/>
      <w:marTop w:val="0"/>
      <w:marBottom w:val="0"/>
      <w:divBdr>
        <w:top w:val="none" w:sz="0" w:space="0" w:color="auto"/>
        <w:left w:val="none" w:sz="0" w:space="0" w:color="auto"/>
        <w:bottom w:val="none" w:sz="0" w:space="0" w:color="auto"/>
        <w:right w:val="none" w:sz="0" w:space="0" w:color="auto"/>
      </w:divBdr>
    </w:div>
    <w:div w:id="124280269">
      <w:bodyDiv w:val="1"/>
      <w:marLeft w:val="0"/>
      <w:marRight w:val="0"/>
      <w:marTop w:val="0"/>
      <w:marBottom w:val="0"/>
      <w:divBdr>
        <w:top w:val="none" w:sz="0" w:space="0" w:color="auto"/>
        <w:left w:val="none" w:sz="0" w:space="0" w:color="auto"/>
        <w:bottom w:val="none" w:sz="0" w:space="0" w:color="auto"/>
        <w:right w:val="none" w:sz="0" w:space="0" w:color="auto"/>
      </w:divBdr>
      <w:divsChild>
        <w:div w:id="402146660">
          <w:marLeft w:val="0"/>
          <w:marRight w:val="0"/>
          <w:marTop w:val="0"/>
          <w:marBottom w:val="0"/>
          <w:divBdr>
            <w:top w:val="none" w:sz="0" w:space="0" w:color="auto"/>
            <w:left w:val="none" w:sz="0" w:space="0" w:color="auto"/>
            <w:bottom w:val="none" w:sz="0" w:space="0" w:color="auto"/>
            <w:right w:val="none" w:sz="0" w:space="0" w:color="auto"/>
          </w:divBdr>
        </w:div>
        <w:div w:id="1021854041">
          <w:marLeft w:val="0"/>
          <w:marRight w:val="0"/>
          <w:marTop w:val="0"/>
          <w:marBottom w:val="0"/>
          <w:divBdr>
            <w:top w:val="none" w:sz="0" w:space="0" w:color="auto"/>
            <w:left w:val="none" w:sz="0" w:space="0" w:color="auto"/>
            <w:bottom w:val="none" w:sz="0" w:space="0" w:color="auto"/>
            <w:right w:val="none" w:sz="0" w:space="0" w:color="auto"/>
          </w:divBdr>
        </w:div>
        <w:div w:id="493499808">
          <w:marLeft w:val="0"/>
          <w:marRight w:val="0"/>
          <w:marTop w:val="0"/>
          <w:marBottom w:val="0"/>
          <w:divBdr>
            <w:top w:val="none" w:sz="0" w:space="0" w:color="auto"/>
            <w:left w:val="none" w:sz="0" w:space="0" w:color="auto"/>
            <w:bottom w:val="none" w:sz="0" w:space="0" w:color="auto"/>
            <w:right w:val="none" w:sz="0" w:space="0" w:color="auto"/>
          </w:divBdr>
        </w:div>
        <w:div w:id="1117793020">
          <w:marLeft w:val="0"/>
          <w:marRight w:val="0"/>
          <w:marTop w:val="0"/>
          <w:marBottom w:val="0"/>
          <w:divBdr>
            <w:top w:val="none" w:sz="0" w:space="0" w:color="auto"/>
            <w:left w:val="none" w:sz="0" w:space="0" w:color="auto"/>
            <w:bottom w:val="none" w:sz="0" w:space="0" w:color="auto"/>
            <w:right w:val="none" w:sz="0" w:space="0" w:color="auto"/>
          </w:divBdr>
        </w:div>
      </w:divsChild>
    </w:div>
    <w:div w:id="124743542">
      <w:bodyDiv w:val="1"/>
      <w:marLeft w:val="0"/>
      <w:marRight w:val="0"/>
      <w:marTop w:val="0"/>
      <w:marBottom w:val="0"/>
      <w:divBdr>
        <w:top w:val="none" w:sz="0" w:space="0" w:color="auto"/>
        <w:left w:val="none" w:sz="0" w:space="0" w:color="auto"/>
        <w:bottom w:val="none" w:sz="0" w:space="0" w:color="auto"/>
        <w:right w:val="none" w:sz="0" w:space="0" w:color="auto"/>
      </w:divBdr>
    </w:div>
    <w:div w:id="126122805">
      <w:bodyDiv w:val="1"/>
      <w:marLeft w:val="0"/>
      <w:marRight w:val="0"/>
      <w:marTop w:val="0"/>
      <w:marBottom w:val="0"/>
      <w:divBdr>
        <w:top w:val="none" w:sz="0" w:space="0" w:color="auto"/>
        <w:left w:val="none" w:sz="0" w:space="0" w:color="auto"/>
        <w:bottom w:val="none" w:sz="0" w:space="0" w:color="auto"/>
        <w:right w:val="none" w:sz="0" w:space="0" w:color="auto"/>
      </w:divBdr>
    </w:div>
    <w:div w:id="199169940">
      <w:bodyDiv w:val="1"/>
      <w:marLeft w:val="0"/>
      <w:marRight w:val="0"/>
      <w:marTop w:val="0"/>
      <w:marBottom w:val="0"/>
      <w:divBdr>
        <w:top w:val="none" w:sz="0" w:space="0" w:color="auto"/>
        <w:left w:val="none" w:sz="0" w:space="0" w:color="auto"/>
        <w:bottom w:val="none" w:sz="0" w:space="0" w:color="auto"/>
        <w:right w:val="none" w:sz="0" w:space="0" w:color="auto"/>
      </w:divBdr>
    </w:div>
    <w:div w:id="896743153">
      <w:bodyDiv w:val="1"/>
      <w:marLeft w:val="0"/>
      <w:marRight w:val="0"/>
      <w:marTop w:val="0"/>
      <w:marBottom w:val="0"/>
      <w:divBdr>
        <w:top w:val="none" w:sz="0" w:space="0" w:color="auto"/>
        <w:left w:val="none" w:sz="0" w:space="0" w:color="auto"/>
        <w:bottom w:val="none" w:sz="0" w:space="0" w:color="auto"/>
        <w:right w:val="none" w:sz="0" w:space="0" w:color="auto"/>
      </w:divBdr>
      <w:divsChild>
        <w:div w:id="1695959815">
          <w:marLeft w:val="0"/>
          <w:marRight w:val="0"/>
          <w:marTop w:val="0"/>
          <w:marBottom w:val="0"/>
          <w:divBdr>
            <w:top w:val="none" w:sz="0" w:space="0" w:color="auto"/>
            <w:left w:val="none" w:sz="0" w:space="0" w:color="auto"/>
            <w:bottom w:val="none" w:sz="0" w:space="0" w:color="auto"/>
            <w:right w:val="none" w:sz="0" w:space="0" w:color="auto"/>
          </w:divBdr>
        </w:div>
        <w:div w:id="1822885124">
          <w:marLeft w:val="0"/>
          <w:marRight w:val="0"/>
          <w:marTop w:val="0"/>
          <w:marBottom w:val="0"/>
          <w:divBdr>
            <w:top w:val="none" w:sz="0" w:space="0" w:color="auto"/>
            <w:left w:val="none" w:sz="0" w:space="0" w:color="auto"/>
            <w:bottom w:val="none" w:sz="0" w:space="0" w:color="auto"/>
            <w:right w:val="none" w:sz="0" w:space="0" w:color="auto"/>
          </w:divBdr>
        </w:div>
        <w:div w:id="1806120438">
          <w:marLeft w:val="0"/>
          <w:marRight w:val="0"/>
          <w:marTop w:val="0"/>
          <w:marBottom w:val="0"/>
          <w:divBdr>
            <w:top w:val="none" w:sz="0" w:space="0" w:color="auto"/>
            <w:left w:val="none" w:sz="0" w:space="0" w:color="auto"/>
            <w:bottom w:val="none" w:sz="0" w:space="0" w:color="auto"/>
            <w:right w:val="none" w:sz="0" w:space="0" w:color="auto"/>
          </w:divBdr>
        </w:div>
        <w:div w:id="1030494546">
          <w:marLeft w:val="0"/>
          <w:marRight w:val="0"/>
          <w:marTop w:val="0"/>
          <w:marBottom w:val="0"/>
          <w:divBdr>
            <w:top w:val="none" w:sz="0" w:space="0" w:color="auto"/>
            <w:left w:val="none" w:sz="0" w:space="0" w:color="auto"/>
            <w:bottom w:val="none" w:sz="0" w:space="0" w:color="auto"/>
            <w:right w:val="none" w:sz="0" w:space="0" w:color="auto"/>
          </w:divBdr>
        </w:div>
        <w:div w:id="1887333326">
          <w:marLeft w:val="0"/>
          <w:marRight w:val="0"/>
          <w:marTop w:val="0"/>
          <w:marBottom w:val="0"/>
          <w:divBdr>
            <w:top w:val="none" w:sz="0" w:space="0" w:color="auto"/>
            <w:left w:val="none" w:sz="0" w:space="0" w:color="auto"/>
            <w:bottom w:val="none" w:sz="0" w:space="0" w:color="auto"/>
            <w:right w:val="none" w:sz="0" w:space="0" w:color="auto"/>
          </w:divBdr>
        </w:div>
        <w:div w:id="2029287021">
          <w:marLeft w:val="0"/>
          <w:marRight w:val="0"/>
          <w:marTop w:val="0"/>
          <w:marBottom w:val="0"/>
          <w:divBdr>
            <w:top w:val="none" w:sz="0" w:space="0" w:color="auto"/>
            <w:left w:val="none" w:sz="0" w:space="0" w:color="auto"/>
            <w:bottom w:val="none" w:sz="0" w:space="0" w:color="auto"/>
            <w:right w:val="none" w:sz="0" w:space="0" w:color="auto"/>
          </w:divBdr>
        </w:div>
        <w:div w:id="1406340336">
          <w:marLeft w:val="0"/>
          <w:marRight w:val="0"/>
          <w:marTop w:val="0"/>
          <w:marBottom w:val="0"/>
          <w:divBdr>
            <w:top w:val="none" w:sz="0" w:space="0" w:color="auto"/>
            <w:left w:val="none" w:sz="0" w:space="0" w:color="auto"/>
            <w:bottom w:val="none" w:sz="0" w:space="0" w:color="auto"/>
            <w:right w:val="none" w:sz="0" w:space="0" w:color="auto"/>
          </w:divBdr>
        </w:div>
        <w:div w:id="1321303575">
          <w:marLeft w:val="0"/>
          <w:marRight w:val="0"/>
          <w:marTop w:val="0"/>
          <w:marBottom w:val="0"/>
          <w:divBdr>
            <w:top w:val="none" w:sz="0" w:space="0" w:color="auto"/>
            <w:left w:val="none" w:sz="0" w:space="0" w:color="auto"/>
            <w:bottom w:val="none" w:sz="0" w:space="0" w:color="auto"/>
            <w:right w:val="none" w:sz="0" w:space="0" w:color="auto"/>
          </w:divBdr>
        </w:div>
        <w:div w:id="1578635791">
          <w:marLeft w:val="0"/>
          <w:marRight w:val="0"/>
          <w:marTop w:val="0"/>
          <w:marBottom w:val="0"/>
          <w:divBdr>
            <w:top w:val="none" w:sz="0" w:space="0" w:color="auto"/>
            <w:left w:val="none" w:sz="0" w:space="0" w:color="auto"/>
            <w:bottom w:val="none" w:sz="0" w:space="0" w:color="auto"/>
            <w:right w:val="none" w:sz="0" w:space="0" w:color="auto"/>
          </w:divBdr>
        </w:div>
        <w:div w:id="1771121741">
          <w:marLeft w:val="0"/>
          <w:marRight w:val="0"/>
          <w:marTop w:val="0"/>
          <w:marBottom w:val="0"/>
          <w:divBdr>
            <w:top w:val="none" w:sz="0" w:space="0" w:color="auto"/>
            <w:left w:val="none" w:sz="0" w:space="0" w:color="auto"/>
            <w:bottom w:val="none" w:sz="0" w:space="0" w:color="auto"/>
            <w:right w:val="none" w:sz="0" w:space="0" w:color="auto"/>
          </w:divBdr>
        </w:div>
        <w:div w:id="484275800">
          <w:marLeft w:val="0"/>
          <w:marRight w:val="0"/>
          <w:marTop w:val="0"/>
          <w:marBottom w:val="0"/>
          <w:divBdr>
            <w:top w:val="none" w:sz="0" w:space="0" w:color="auto"/>
            <w:left w:val="none" w:sz="0" w:space="0" w:color="auto"/>
            <w:bottom w:val="none" w:sz="0" w:space="0" w:color="auto"/>
            <w:right w:val="none" w:sz="0" w:space="0" w:color="auto"/>
          </w:divBdr>
        </w:div>
        <w:div w:id="1272278580">
          <w:marLeft w:val="0"/>
          <w:marRight w:val="0"/>
          <w:marTop w:val="0"/>
          <w:marBottom w:val="0"/>
          <w:divBdr>
            <w:top w:val="none" w:sz="0" w:space="0" w:color="auto"/>
            <w:left w:val="none" w:sz="0" w:space="0" w:color="auto"/>
            <w:bottom w:val="none" w:sz="0" w:space="0" w:color="auto"/>
            <w:right w:val="none" w:sz="0" w:space="0" w:color="auto"/>
          </w:divBdr>
        </w:div>
        <w:div w:id="1756894837">
          <w:marLeft w:val="0"/>
          <w:marRight w:val="0"/>
          <w:marTop w:val="0"/>
          <w:marBottom w:val="0"/>
          <w:divBdr>
            <w:top w:val="none" w:sz="0" w:space="0" w:color="auto"/>
            <w:left w:val="none" w:sz="0" w:space="0" w:color="auto"/>
            <w:bottom w:val="none" w:sz="0" w:space="0" w:color="auto"/>
            <w:right w:val="none" w:sz="0" w:space="0" w:color="auto"/>
          </w:divBdr>
        </w:div>
        <w:div w:id="429201977">
          <w:marLeft w:val="0"/>
          <w:marRight w:val="0"/>
          <w:marTop w:val="0"/>
          <w:marBottom w:val="0"/>
          <w:divBdr>
            <w:top w:val="none" w:sz="0" w:space="0" w:color="auto"/>
            <w:left w:val="none" w:sz="0" w:space="0" w:color="auto"/>
            <w:bottom w:val="none" w:sz="0" w:space="0" w:color="auto"/>
            <w:right w:val="none" w:sz="0" w:space="0" w:color="auto"/>
          </w:divBdr>
        </w:div>
        <w:div w:id="78454673">
          <w:marLeft w:val="0"/>
          <w:marRight w:val="0"/>
          <w:marTop w:val="0"/>
          <w:marBottom w:val="0"/>
          <w:divBdr>
            <w:top w:val="none" w:sz="0" w:space="0" w:color="auto"/>
            <w:left w:val="none" w:sz="0" w:space="0" w:color="auto"/>
            <w:bottom w:val="none" w:sz="0" w:space="0" w:color="auto"/>
            <w:right w:val="none" w:sz="0" w:space="0" w:color="auto"/>
          </w:divBdr>
        </w:div>
        <w:div w:id="9573505">
          <w:marLeft w:val="0"/>
          <w:marRight w:val="0"/>
          <w:marTop w:val="0"/>
          <w:marBottom w:val="0"/>
          <w:divBdr>
            <w:top w:val="none" w:sz="0" w:space="0" w:color="auto"/>
            <w:left w:val="none" w:sz="0" w:space="0" w:color="auto"/>
            <w:bottom w:val="none" w:sz="0" w:space="0" w:color="auto"/>
            <w:right w:val="none" w:sz="0" w:space="0" w:color="auto"/>
          </w:divBdr>
        </w:div>
        <w:div w:id="674378061">
          <w:marLeft w:val="0"/>
          <w:marRight w:val="0"/>
          <w:marTop w:val="0"/>
          <w:marBottom w:val="0"/>
          <w:divBdr>
            <w:top w:val="none" w:sz="0" w:space="0" w:color="auto"/>
            <w:left w:val="none" w:sz="0" w:space="0" w:color="auto"/>
            <w:bottom w:val="none" w:sz="0" w:space="0" w:color="auto"/>
            <w:right w:val="none" w:sz="0" w:space="0" w:color="auto"/>
          </w:divBdr>
        </w:div>
        <w:div w:id="2102794219">
          <w:marLeft w:val="0"/>
          <w:marRight w:val="0"/>
          <w:marTop w:val="0"/>
          <w:marBottom w:val="0"/>
          <w:divBdr>
            <w:top w:val="none" w:sz="0" w:space="0" w:color="auto"/>
            <w:left w:val="none" w:sz="0" w:space="0" w:color="auto"/>
            <w:bottom w:val="none" w:sz="0" w:space="0" w:color="auto"/>
            <w:right w:val="none" w:sz="0" w:space="0" w:color="auto"/>
          </w:divBdr>
        </w:div>
        <w:div w:id="845830124">
          <w:marLeft w:val="0"/>
          <w:marRight w:val="0"/>
          <w:marTop w:val="0"/>
          <w:marBottom w:val="0"/>
          <w:divBdr>
            <w:top w:val="none" w:sz="0" w:space="0" w:color="auto"/>
            <w:left w:val="none" w:sz="0" w:space="0" w:color="auto"/>
            <w:bottom w:val="none" w:sz="0" w:space="0" w:color="auto"/>
            <w:right w:val="none" w:sz="0" w:space="0" w:color="auto"/>
          </w:divBdr>
        </w:div>
        <w:div w:id="727649966">
          <w:marLeft w:val="0"/>
          <w:marRight w:val="0"/>
          <w:marTop w:val="0"/>
          <w:marBottom w:val="0"/>
          <w:divBdr>
            <w:top w:val="none" w:sz="0" w:space="0" w:color="auto"/>
            <w:left w:val="none" w:sz="0" w:space="0" w:color="auto"/>
            <w:bottom w:val="none" w:sz="0" w:space="0" w:color="auto"/>
            <w:right w:val="none" w:sz="0" w:space="0" w:color="auto"/>
          </w:divBdr>
        </w:div>
        <w:div w:id="963777205">
          <w:marLeft w:val="0"/>
          <w:marRight w:val="0"/>
          <w:marTop w:val="0"/>
          <w:marBottom w:val="0"/>
          <w:divBdr>
            <w:top w:val="none" w:sz="0" w:space="0" w:color="auto"/>
            <w:left w:val="none" w:sz="0" w:space="0" w:color="auto"/>
            <w:bottom w:val="none" w:sz="0" w:space="0" w:color="auto"/>
            <w:right w:val="none" w:sz="0" w:space="0" w:color="auto"/>
          </w:divBdr>
        </w:div>
        <w:div w:id="741483342">
          <w:marLeft w:val="0"/>
          <w:marRight w:val="0"/>
          <w:marTop w:val="0"/>
          <w:marBottom w:val="0"/>
          <w:divBdr>
            <w:top w:val="none" w:sz="0" w:space="0" w:color="auto"/>
            <w:left w:val="none" w:sz="0" w:space="0" w:color="auto"/>
            <w:bottom w:val="none" w:sz="0" w:space="0" w:color="auto"/>
            <w:right w:val="none" w:sz="0" w:space="0" w:color="auto"/>
          </w:divBdr>
        </w:div>
        <w:div w:id="39674991">
          <w:marLeft w:val="0"/>
          <w:marRight w:val="0"/>
          <w:marTop w:val="0"/>
          <w:marBottom w:val="0"/>
          <w:divBdr>
            <w:top w:val="none" w:sz="0" w:space="0" w:color="auto"/>
            <w:left w:val="none" w:sz="0" w:space="0" w:color="auto"/>
            <w:bottom w:val="none" w:sz="0" w:space="0" w:color="auto"/>
            <w:right w:val="none" w:sz="0" w:space="0" w:color="auto"/>
          </w:divBdr>
        </w:div>
        <w:div w:id="643658843">
          <w:marLeft w:val="0"/>
          <w:marRight w:val="0"/>
          <w:marTop w:val="0"/>
          <w:marBottom w:val="0"/>
          <w:divBdr>
            <w:top w:val="none" w:sz="0" w:space="0" w:color="auto"/>
            <w:left w:val="none" w:sz="0" w:space="0" w:color="auto"/>
            <w:bottom w:val="none" w:sz="0" w:space="0" w:color="auto"/>
            <w:right w:val="none" w:sz="0" w:space="0" w:color="auto"/>
          </w:divBdr>
        </w:div>
        <w:div w:id="1930232660">
          <w:marLeft w:val="0"/>
          <w:marRight w:val="0"/>
          <w:marTop w:val="0"/>
          <w:marBottom w:val="0"/>
          <w:divBdr>
            <w:top w:val="none" w:sz="0" w:space="0" w:color="auto"/>
            <w:left w:val="none" w:sz="0" w:space="0" w:color="auto"/>
            <w:bottom w:val="none" w:sz="0" w:space="0" w:color="auto"/>
            <w:right w:val="none" w:sz="0" w:space="0" w:color="auto"/>
          </w:divBdr>
        </w:div>
      </w:divsChild>
    </w:div>
    <w:div w:id="937297115">
      <w:bodyDiv w:val="1"/>
      <w:marLeft w:val="0"/>
      <w:marRight w:val="0"/>
      <w:marTop w:val="0"/>
      <w:marBottom w:val="0"/>
      <w:divBdr>
        <w:top w:val="none" w:sz="0" w:space="0" w:color="auto"/>
        <w:left w:val="none" w:sz="0" w:space="0" w:color="auto"/>
        <w:bottom w:val="none" w:sz="0" w:space="0" w:color="auto"/>
        <w:right w:val="none" w:sz="0" w:space="0" w:color="auto"/>
      </w:divBdr>
    </w:div>
    <w:div w:id="1465349075">
      <w:bodyDiv w:val="1"/>
      <w:marLeft w:val="0"/>
      <w:marRight w:val="0"/>
      <w:marTop w:val="0"/>
      <w:marBottom w:val="0"/>
      <w:divBdr>
        <w:top w:val="none" w:sz="0" w:space="0" w:color="auto"/>
        <w:left w:val="none" w:sz="0" w:space="0" w:color="auto"/>
        <w:bottom w:val="none" w:sz="0" w:space="0" w:color="auto"/>
        <w:right w:val="none" w:sz="0" w:space="0" w:color="auto"/>
      </w:divBdr>
      <w:divsChild>
        <w:div w:id="1089235912">
          <w:marLeft w:val="0"/>
          <w:marRight w:val="0"/>
          <w:marTop w:val="0"/>
          <w:marBottom w:val="0"/>
          <w:divBdr>
            <w:top w:val="none" w:sz="0" w:space="0" w:color="auto"/>
            <w:left w:val="none" w:sz="0" w:space="0" w:color="auto"/>
            <w:bottom w:val="none" w:sz="0" w:space="0" w:color="auto"/>
            <w:right w:val="none" w:sz="0" w:space="0" w:color="auto"/>
          </w:divBdr>
        </w:div>
        <w:div w:id="313140675">
          <w:marLeft w:val="0"/>
          <w:marRight w:val="0"/>
          <w:marTop w:val="0"/>
          <w:marBottom w:val="0"/>
          <w:divBdr>
            <w:top w:val="none" w:sz="0" w:space="0" w:color="auto"/>
            <w:left w:val="none" w:sz="0" w:space="0" w:color="auto"/>
            <w:bottom w:val="none" w:sz="0" w:space="0" w:color="auto"/>
            <w:right w:val="none" w:sz="0" w:space="0" w:color="auto"/>
          </w:divBdr>
        </w:div>
        <w:div w:id="1112435229">
          <w:marLeft w:val="0"/>
          <w:marRight w:val="0"/>
          <w:marTop w:val="0"/>
          <w:marBottom w:val="0"/>
          <w:divBdr>
            <w:top w:val="none" w:sz="0" w:space="0" w:color="auto"/>
            <w:left w:val="none" w:sz="0" w:space="0" w:color="auto"/>
            <w:bottom w:val="none" w:sz="0" w:space="0" w:color="auto"/>
            <w:right w:val="none" w:sz="0" w:space="0" w:color="auto"/>
          </w:divBdr>
        </w:div>
        <w:div w:id="272134209">
          <w:marLeft w:val="0"/>
          <w:marRight w:val="0"/>
          <w:marTop w:val="0"/>
          <w:marBottom w:val="0"/>
          <w:divBdr>
            <w:top w:val="none" w:sz="0" w:space="0" w:color="auto"/>
            <w:left w:val="none" w:sz="0" w:space="0" w:color="auto"/>
            <w:bottom w:val="none" w:sz="0" w:space="0" w:color="auto"/>
            <w:right w:val="none" w:sz="0" w:space="0" w:color="auto"/>
          </w:divBdr>
        </w:div>
        <w:div w:id="256981688">
          <w:marLeft w:val="0"/>
          <w:marRight w:val="0"/>
          <w:marTop w:val="0"/>
          <w:marBottom w:val="0"/>
          <w:divBdr>
            <w:top w:val="none" w:sz="0" w:space="0" w:color="auto"/>
            <w:left w:val="none" w:sz="0" w:space="0" w:color="auto"/>
            <w:bottom w:val="none" w:sz="0" w:space="0" w:color="auto"/>
            <w:right w:val="none" w:sz="0" w:space="0" w:color="auto"/>
          </w:divBdr>
        </w:div>
        <w:div w:id="1362821418">
          <w:marLeft w:val="0"/>
          <w:marRight w:val="0"/>
          <w:marTop w:val="0"/>
          <w:marBottom w:val="0"/>
          <w:divBdr>
            <w:top w:val="none" w:sz="0" w:space="0" w:color="auto"/>
            <w:left w:val="none" w:sz="0" w:space="0" w:color="auto"/>
            <w:bottom w:val="none" w:sz="0" w:space="0" w:color="auto"/>
            <w:right w:val="none" w:sz="0" w:space="0" w:color="auto"/>
          </w:divBdr>
        </w:div>
        <w:div w:id="810974969">
          <w:marLeft w:val="0"/>
          <w:marRight w:val="0"/>
          <w:marTop w:val="0"/>
          <w:marBottom w:val="0"/>
          <w:divBdr>
            <w:top w:val="none" w:sz="0" w:space="0" w:color="auto"/>
            <w:left w:val="none" w:sz="0" w:space="0" w:color="auto"/>
            <w:bottom w:val="none" w:sz="0" w:space="0" w:color="auto"/>
            <w:right w:val="none" w:sz="0" w:space="0" w:color="auto"/>
          </w:divBdr>
        </w:div>
        <w:div w:id="924993412">
          <w:marLeft w:val="0"/>
          <w:marRight w:val="0"/>
          <w:marTop w:val="0"/>
          <w:marBottom w:val="0"/>
          <w:divBdr>
            <w:top w:val="none" w:sz="0" w:space="0" w:color="auto"/>
            <w:left w:val="none" w:sz="0" w:space="0" w:color="auto"/>
            <w:bottom w:val="none" w:sz="0" w:space="0" w:color="auto"/>
            <w:right w:val="none" w:sz="0" w:space="0" w:color="auto"/>
          </w:divBdr>
        </w:div>
        <w:div w:id="924537584">
          <w:marLeft w:val="0"/>
          <w:marRight w:val="0"/>
          <w:marTop w:val="0"/>
          <w:marBottom w:val="0"/>
          <w:divBdr>
            <w:top w:val="none" w:sz="0" w:space="0" w:color="auto"/>
            <w:left w:val="none" w:sz="0" w:space="0" w:color="auto"/>
            <w:bottom w:val="none" w:sz="0" w:space="0" w:color="auto"/>
            <w:right w:val="none" w:sz="0" w:space="0" w:color="auto"/>
          </w:divBdr>
        </w:div>
        <w:div w:id="1522165541">
          <w:marLeft w:val="0"/>
          <w:marRight w:val="0"/>
          <w:marTop w:val="0"/>
          <w:marBottom w:val="0"/>
          <w:divBdr>
            <w:top w:val="none" w:sz="0" w:space="0" w:color="auto"/>
            <w:left w:val="none" w:sz="0" w:space="0" w:color="auto"/>
            <w:bottom w:val="none" w:sz="0" w:space="0" w:color="auto"/>
            <w:right w:val="none" w:sz="0" w:space="0" w:color="auto"/>
          </w:divBdr>
        </w:div>
        <w:div w:id="174393549">
          <w:marLeft w:val="0"/>
          <w:marRight w:val="0"/>
          <w:marTop w:val="0"/>
          <w:marBottom w:val="0"/>
          <w:divBdr>
            <w:top w:val="none" w:sz="0" w:space="0" w:color="auto"/>
            <w:left w:val="none" w:sz="0" w:space="0" w:color="auto"/>
            <w:bottom w:val="none" w:sz="0" w:space="0" w:color="auto"/>
            <w:right w:val="none" w:sz="0" w:space="0" w:color="auto"/>
          </w:divBdr>
        </w:div>
        <w:div w:id="692347035">
          <w:marLeft w:val="0"/>
          <w:marRight w:val="0"/>
          <w:marTop w:val="0"/>
          <w:marBottom w:val="0"/>
          <w:divBdr>
            <w:top w:val="none" w:sz="0" w:space="0" w:color="auto"/>
            <w:left w:val="none" w:sz="0" w:space="0" w:color="auto"/>
            <w:bottom w:val="none" w:sz="0" w:space="0" w:color="auto"/>
            <w:right w:val="none" w:sz="0" w:space="0" w:color="auto"/>
          </w:divBdr>
        </w:div>
        <w:div w:id="983395093">
          <w:marLeft w:val="0"/>
          <w:marRight w:val="0"/>
          <w:marTop w:val="0"/>
          <w:marBottom w:val="0"/>
          <w:divBdr>
            <w:top w:val="none" w:sz="0" w:space="0" w:color="auto"/>
            <w:left w:val="none" w:sz="0" w:space="0" w:color="auto"/>
            <w:bottom w:val="none" w:sz="0" w:space="0" w:color="auto"/>
            <w:right w:val="none" w:sz="0" w:space="0" w:color="auto"/>
          </w:divBdr>
        </w:div>
        <w:div w:id="1046180335">
          <w:marLeft w:val="0"/>
          <w:marRight w:val="0"/>
          <w:marTop w:val="0"/>
          <w:marBottom w:val="0"/>
          <w:divBdr>
            <w:top w:val="none" w:sz="0" w:space="0" w:color="auto"/>
            <w:left w:val="none" w:sz="0" w:space="0" w:color="auto"/>
            <w:bottom w:val="none" w:sz="0" w:space="0" w:color="auto"/>
            <w:right w:val="none" w:sz="0" w:space="0" w:color="auto"/>
          </w:divBdr>
        </w:div>
        <w:div w:id="2146894028">
          <w:marLeft w:val="0"/>
          <w:marRight w:val="0"/>
          <w:marTop w:val="0"/>
          <w:marBottom w:val="0"/>
          <w:divBdr>
            <w:top w:val="none" w:sz="0" w:space="0" w:color="auto"/>
            <w:left w:val="none" w:sz="0" w:space="0" w:color="auto"/>
            <w:bottom w:val="none" w:sz="0" w:space="0" w:color="auto"/>
            <w:right w:val="none" w:sz="0" w:space="0" w:color="auto"/>
          </w:divBdr>
        </w:div>
        <w:div w:id="578253826">
          <w:marLeft w:val="0"/>
          <w:marRight w:val="0"/>
          <w:marTop w:val="0"/>
          <w:marBottom w:val="0"/>
          <w:divBdr>
            <w:top w:val="none" w:sz="0" w:space="0" w:color="auto"/>
            <w:left w:val="none" w:sz="0" w:space="0" w:color="auto"/>
            <w:bottom w:val="none" w:sz="0" w:space="0" w:color="auto"/>
            <w:right w:val="none" w:sz="0" w:space="0" w:color="auto"/>
          </w:divBdr>
        </w:div>
        <w:div w:id="687103833">
          <w:marLeft w:val="0"/>
          <w:marRight w:val="0"/>
          <w:marTop w:val="0"/>
          <w:marBottom w:val="0"/>
          <w:divBdr>
            <w:top w:val="none" w:sz="0" w:space="0" w:color="auto"/>
            <w:left w:val="none" w:sz="0" w:space="0" w:color="auto"/>
            <w:bottom w:val="none" w:sz="0" w:space="0" w:color="auto"/>
            <w:right w:val="none" w:sz="0" w:space="0" w:color="auto"/>
          </w:divBdr>
        </w:div>
        <w:div w:id="128205848">
          <w:marLeft w:val="0"/>
          <w:marRight w:val="0"/>
          <w:marTop w:val="0"/>
          <w:marBottom w:val="0"/>
          <w:divBdr>
            <w:top w:val="none" w:sz="0" w:space="0" w:color="auto"/>
            <w:left w:val="none" w:sz="0" w:space="0" w:color="auto"/>
            <w:bottom w:val="none" w:sz="0" w:space="0" w:color="auto"/>
            <w:right w:val="none" w:sz="0" w:space="0" w:color="auto"/>
          </w:divBdr>
        </w:div>
        <w:div w:id="1650935676">
          <w:marLeft w:val="0"/>
          <w:marRight w:val="0"/>
          <w:marTop w:val="0"/>
          <w:marBottom w:val="0"/>
          <w:divBdr>
            <w:top w:val="none" w:sz="0" w:space="0" w:color="auto"/>
            <w:left w:val="none" w:sz="0" w:space="0" w:color="auto"/>
            <w:bottom w:val="none" w:sz="0" w:space="0" w:color="auto"/>
            <w:right w:val="none" w:sz="0" w:space="0" w:color="auto"/>
          </w:divBdr>
        </w:div>
        <w:div w:id="33621054">
          <w:marLeft w:val="0"/>
          <w:marRight w:val="0"/>
          <w:marTop w:val="0"/>
          <w:marBottom w:val="0"/>
          <w:divBdr>
            <w:top w:val="none" w:sz="0" w:space="0" w:color="auto"/>
            <w:left w:val="none" w:sz="0" w:space="0" w:color="auto"/>
            <w:bottom w:val="none" w:sz="0" w:space="0" w:color="auto"/>
            <w:right w:val="none" w:sz="0" w:space="0" w:color="auto"/>
          </w:divBdr>
        </w:div>
        <w:div w:id="1522667977">
          <w:marLeft w:val="0"/>
          <w:marRight w:val="0"/>
          <w:marTop w:val="0"/>
          <w:marBottom w:val="0"/>
          <w:divBdr>
            <w:top w:val="none" w:sz="0" w:space="0" w:color="auto"/>
            <w:left w:val="none" w:sz="0" w:space="0" w:color="auto"/>
            <w:bottom w:val="none" w:sz="0" w:space="0" w:color="auto"/>
            <w:right w:val="none" w:sz="0" w:space="0" w:color="auto"/>
          </w:divBdr>
        </w:div>
      </w:divsChild>
    </w:div>
    <w:div w:id="1568346315">
      <w:bodyDiv w:val="1"/>
      <w:marLeft w:val="0"/>
      <w:marRight w:val="0"/>
      <w:marTop w:val="0"/>
      <w:marBottom w:val="0"/>
      <w:divBdr>
        <w:top w:val="none" w:sz="0" w:space="0" w:color="auto"/>
        <w:left w:val="none" w:sz="0" w:space="0" w:color="auto"/>
        <w:bottom w:val="none" w:sz="0" w:space="0" w:color="auto"/>
        <w:right w:val="none" w:sz="0" w:space="0" w:color="auto"/>
      </w:divBdr>
      <w:divsChild>
        <w:div w:id="893930430">
          <w:marLeft w:val="0"/>
          <w:marRight w:val="0"/>
          <w:marTop w:val="0"/>
          <w:marBottom w:val="0"/>
          <w:divBdr>
            <w:top w:val="none" w:sz="0" w:space="0" w:color="auto"/>
            <w:left w:val="none" w:sz="0" w:space="0" w:color="auto"/>
            <w:bottom w:val="none" w:sz="0" w:space="0" w:color="auto"/>
            <w:right w:val="none" w:sz="0" w:space="0" w:color="auto"/>
          </w:divBdr>
        </w:div>
        <w:div w:id="1467702368">
          <w:marLeft w:val="0"/>
          <w:marRight w:val="0"/>
          <w:marTop w:val="0"/>
          <w:marBottom w:val="0"/>
          <w:divBdr>
            <w:top w:val="none" w:sz="0" w:space="0" w:color="auto"/>
            <w:left w:val="none" w:sz="0" w:space="0" w:color="auto"/>
            <w:bottom w:val="none" w:sz="0" w:space="0" w:color="auto"/>
            <w:right w:val="none" w:sz="0" w:space="0" w:color="auto"/>
          </w:divBdr>
        </w:div>
        <w:div w:id="2058164597">
          <w:marLeft w:val="0"/>
          <w:marRight w:val="0"/>
          <w:marTop w:val="0"/>
          <w:marBottom w:val="0"/>
          <w:divBdr>
            <w:top w:val="none" w:sz="0" w:space="0" w:color="auto"/>
            <w:left w:val="none" w:sz="0" w:space="0" w:color="auto"/>
            <w:bottom w:val="none" w:sz="0" w:space="0" w:color="auto"/>
            <w:right w:val="none" w:sz="0" w:space="0" w:color="auto"/>
          </w:divBdr>
        </w:div>
        <w:div w:id="746346168">
          <w:marLeft w:val="0"/>
          <w:marRight w:val="0"/>
          <w:marTop w:val="0"/>
          <w:marBottom w:val="0"/>
          <w:divBdr>
            <w:top w:val="none" w:sz="0" w:space="0" w:color="auto"/>
            <w:left w:val="none" w:sz="0" w:space="0" w:color="auto"/>
            <w:bottom w:val="none" w:sz="0" w:space="0" w:color="auto"/>
            <w:right w:val="none" w:sz="0" w:space="0" w:color="auto"/>
          </w:divBdr>
        </w:div>
        <w:div w:id="1662656440">
          <w:marLeft w:val="0"/>
          <w:marRight w:val="0"/>
          <w:marTop w:val="0"/>
          <w:marBottom w:val="0"/>
          <w:divBdr>
            <w:top w:val="none" w:sz="0" w:space="0" w:color="auto"/>
            <w:left w:val="none" w:sz="0" w:space="0" w:color="auto"/>
            <w:bottom w:val="none" w:sz="0" w:space="0" w:color="auto"/>
            <w:right w:val="none" w:sz="0" w:space="0" w:color="auto"/>
          </w:divBdr>
        </w:div>
        <w:div w:id="1584292652">
          <w:marLeft w:val="0"/>
          <w:marRight w:val="0"/>
          <w:marTop w:val="0"/>
          <w:marBottom w:val="0"/>
          <w:divBdr>
            <w:top w:val="none" w:sz="0" w:space="0" w:color="auto"/>
            <w:left w:val="none" w:sz="0" w:space="0" w:color="auto"/>
            <w:bottom w:val="none" w:sz="0" w:space="0" w:color="auto"/>
            <w:right w:val="none" w:sz="0" w:space="0" w:color="auto"/>
          </w:divBdr>
        </w:div>
        <w:div w:id="657533940">
          <w:marLeft w:val="0"/>
          <w:marRight w:val="0"/>
          <w:marTop w:val="0"/>
          <w:marBottom w:val="0"/>
          <w:divBdr>
            <w:top w:val="none" w:sz="0" w:space="0" w:color="auto"/>
            <w:left w:val="none" w:sz="0" w:space="0" w:color="auto"/>
            <w:bottom w:val="none" w:sz="0" w:space="0" w:color="auto"/>
            <w:right w:val="none" w:sz="0" w:space="0" w:color="auto"/>
          </w:divBdr>
        </w:div>
        <w:div w:id="933249081">
          <w:marLeft w:val="0"/>
          <w:marRight w:val="0"/>
          <w:marTop w:val="0"/>
          <w:marBottom w:val="0"/>
          <w:divBdr>
            <w:top w:val="none" w:sz="0" w:space="0" w:color="auto"/>
            <w:left w:val="none" w:sz="0" w:space="0" w:color="auto"/>
            <w:bottom w:val="none" w:sz="0" w:space="0" w:color="auto"/>
            <w:right w:val="none" w:sz="0" w:space="0" w:color="auto"/>
          </w:divBdr>
        </w:div>
      </w:divsChild>
    </w:div>
    <w:div w:id="1952777611">
      <w:bodyDiv w:val="1"/>
      <w:marLeft w:val="0"/>
      <w:marRight w:val="0"/>
      <w:marTop w:val="0"/>
      <w:marBottom w:val="0"/>
      <w:divBdr>
        <w:top w:val="none" w:sz="0" w:space="0" w:color="auto"/>
        <w:left w:val="none" w:sz="0" w:space="0" w:color="auto"/>
        <w:bottom w:val="none" w:sz="0" w:space="0" w:color="auto"/>
        <w:right w:val="none" w:sz="0" w:space="0" w:color="auto"/>
      </w:divBdr>
    </w:div>
    <w:div w:id="210128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itravail.com/" TargetMode="External"/><Relationship Id="rId13" Type="http://schemas.openxmlformats.org/officeDocument/2006/relationships/hyperlink" Target="javascript:Redirection('2819018')" TargetMode="External"/><Relationship Id="rId3" Type="http://schemas.microsoft.com/office/2007/relationships/stylesWithEffects" Target="stylesWithEffects.xml"/><Relationship Id="rId7" Type="http://schemas.openxmlformats.org/officeDocument/2006/relationships/hyperlink" Target="http://www.juritravail.com/conflits-et-sanctions/Inspection-du-travail" TargetMode="External"/><Relationship Id="rId12" Type="http://schemas.openxmlformats.org/officeDocument/2006/relationships/hyperlink" Target="http://www.juritravail.com/us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juritravail.com/vie-en-entreprise/institutions-representatives-du-personne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uritravail.com/salaire/primes-avantage" TargetMode="External"/><Relationship Id="rId4" Type="http://schemas.openxmlformats.org/officeDocument/2006/relationships/settings" Target="settings.xml"/><Relationship Id="rId9" Type="http://schemas.openxmlformats.org/officeDocument/2006/relationships/hyperlink" Target="http://www.juritravail.com/delegues-personel-dp" TargetMode="External"/><Relationship Id="rId14" Type="http://schemas.openxmlformats.org/officeDocument/2006/relationships/hyperlink" Target="http://www.wk-rh.fr/preview/BeDhHlCfJnJmEiBeEhHl/editionXHTML/glpq/105-135_-_l_employeur_peut-il_remettre_en_cause_ses_engagements_les_usages_ou_les_accords_atypiques_/105-135_-_l_employeur_peut-il_remettre_en_cause_ses_engagements_les_usages_ou_les_accords_atypiques_"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1579</TotalTime>
  <Pages>7</Pages>
  <Words>2291</Words>
  <Characters>12603</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34</cp:revision>
  <dcterms:created xsi:type="dcterms:W3CDTF">2014-04-08T18:05:00Z</dcterms:created>
  <dcterms:modified xsi:type="dcterms:W3CDTF">2014-04-09T20:24:00Z</dcterms:modified>
</cp:coreProperties>
</file>