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56488" w14:textId="2DFF1B68" w:rsidR="007F76DF" w:rsidRDefault="00A03A9E">
      <w:r>
        <w:t>Rémunération</w:t>
      </w:r>
    </w:p>
    <w:p w14:paraId="2ECB3661" w14:textId="0803461E" w:rsidR="00A03A9E" w:rsidRDefault="00A03A9E">
      <w:hyperlink r:id="rId4" w:anchor=":~:text=Prenons%20le%20cas%20d'un,sont%20fix%C3%A9s%20la%20premi%C3%A8re%20ann%C3%A9e.&amp;text=Mais%20en%20l'occurrence%2C%20malheureusement,ne%20s'ex%C3%A9cute%20pas%20spontan%C3%A9ment." w:history="1">
        <w:r>
          <w:rPr>
            <w:rStyle w:val="Lienhypertexte"/>
          </w:rPr>
          <w:t>https://www.francmuller-avocat.com/que-faire-en-cas-de-non-respect-dun-engagement-par-lemployeur/#:~:text=Prenons%20le%20cas%20d'un,sont%20fix%C3%A9s%20la%20premi%C3%A8re%20ann%C3%A9e.&amp;text=Mais%20en%20l'occurrence%2C%20malheureusement,ne%20s'ex%C3%A9cute%20pas%20spontan%C3%A9ment.</w:t>
        </w:r>
      </w:hyperlink>
    </w:p>
    <w:p w14:paraId="00A5A3E6" w14:textId="6AE38B73" w:rsidR="00A03A9E" w:rsidRDefault="00A03A9E">
      <w:hyperlink r:id="rId5" w:history="1">
        <w:r>
          <w:rPr>
            <w:rStyle w:val="Lienhypertexte"/>
          </w:rPr>
          <w:t>https://www.capital.fr/votre-carriere/mon-employeur-peut-il-augmenter-mes-collegues-et-pas-moi-1072420</w:t>
        </w:r>
      </w:hyperlink>
    </w:p>
    <w:p w14:paraId="3669AA32" w14:textId="3C56BE7D" w:rsidR="00A03A9E" w:rsidRDefault="00A03A9E">
      <w:hyperlink r:id="rId6" w:history="1">
        <w:r>
          <w:rPr>
            <w:rStyle w:val="Lienhypertexte"/>
          </w:rPr>
          <w:t>https://www.saisirprudhommes.com/fiches-prudhommes/procedure-de-licenciement-pour-motif-personnel</w:t>
        </w:r>
      </w:hyperlink>
    </w:p>
    <w:p w14:paraId="66D6A48A" w14:textId="537327E2" w:rsidR="00A03A9E" w:rsidRDefault="00A03A9E"/>
    <w:p w14:paraId="03CDFC92" w14:textId="43A917D7" w:rsidR="00A03A9E" w:rsidRDefault="00A03A9E">
      <w:r>
        <w:t xml:space="preserve">PV de la NAO </w:t>
      </w:r>
    </w:p>
    <w:p w14:paraId="490469F2" w14:textId="56D10D21" w:rsidR="00A03A9E" w:rsidRDefault="00A03A9E">
      <w:r>
        <w:t>Règlement intérieur</w:t>
      </w:r>
    </w:p>
    <w:p w14:paraId="2CF1983C" w14:textId="018F7548" w:rsidR="00A03A9E" w:rsidRDefault="00A03A9E">
      <w:pPr>
        <w:rPr>
          <w:rFonts w:ascii="Arial" w:hAnsi="Arial" w:cs="Arial"/>
          <w:color w:val="FF0000"/>
          <w:shd w:val="clear" w:color="auto" w:fill="FFFFFF"/>
        </w:rPr>
      </w:pPr>
      <w:r w:rsidRPr="004529B3">
        <w:rPr>
          <w:rFonts w:ascii="Arial" w:hAnsi="Arial" w:cs="Arial"/>
          <w:color w:val="FF0000"/>
          <w:shd w:val="clear" w:color="auto" w:fill="FFFFFF"/>
        </w:rPr>
        <w:t>En effet, pour rappel, l’employeur est tenu, à l’égard de chaque salarié de l’entreprise, d’une </w:t>
      </w:r>
      <w:r w:rsidRPr="004529B3">
        <w:rPr>
          <w:rStyle w:val="lev"/>
          <w:rFonts w:ascii="Arial" w:hAnsi="Arial" w:cs="Arial"/>
          <w:color w:val="FF0000"/>
          <w:shd w:val="clear" w:color="auto" w:fill="FFFFFF"/>
        </w:rPr>
        <w:t>obligation de sécurité</w:t>
      </w:r>
      <w:r w:rsidRPr="004529B3">
        <w:rPr>
          <w:rFonts w:ascii="Arial" w:hAnsi="Arial" w:cs="Arial"/>
          <w:color w:val="FF0000"/>
          <w:shd w:val="clear" w:color="auto" w:fill="FFFFFF"/>
        </w:rPr>
        <w:t> qui lui impose de </w:t>
      </w:r>
      <w:r w:rsidRPr="004529B3">
        <w:rPr>
          <w:rStyle w:val="lev"/>
          <w:rFonts w:ascii="Arial" w:hAnsi="Arial" w:cs="Arial"/>
          <w:color w:val="FF0000"/>
          <w:shd w:val="clear" w:color="auto" w:fill="FFFFFF"/>
        </w:rPr>
        <w:t>prendre les mesures nécessaires pour assurer sa sécurité et protéger sa santé physique et mentale</w:t>
      </w:r>
      <w:r w:rsidRPr="004529B3">
        <w:rPr>
          <w:rFonts w:ascii="Arial" w:hAnsi="Arial" w:cs="Arial"/>
          <w:color w:val="FF0000"/>
          <w:shd w:val="clear" w:color="auto" w:fill="FFFFFF"/>
        </w:rPr>
        <w:t xml:space="preserve"> (Cass. </w:t>
      </w:r>
      <w:proofErr w:type="gramStart"/>
      <w:r w:rsidRPr="004529B3">
        <w:rPr>
          <w:rFonts w:ascii="Arial" w:hAnsi="Arial" w:cs="Arial"/>
          <w:color w:val="FF0000"/>
          <w:shd w:val="clear" w:color="auto" w:fill="FFFFFF"/>
        </w:rPr>
        <w:t>soc</w:t>
      </w:r>
      <w:proofErr w:type="gramEnd"/>
      <w:r w:rsidRPr="004529B3">
        <w:rPr>
          <w:rFonts w:ascii="Arial" w:hAnsi="Arial" w:cs="Arial"/>
          <w:color w:val="FF0000"/>
          <w:shd w:val="clear" w:color="auto" w:fill="FFFFFF"/>
        </w:rPr>
        <w:t>. 25 novembre 2015, n°14-24444).</w:t>
      </w:r>
    </w:p>
    <w:p w14:paraId="7792F437" w14:textId="2E00272E" w:rsidR="004529B3" w:rsidRDefault="004529B3">
      <w:pPr>
        <w:rPr>
          <w:rFonts w:ascii="Arial" w:hAnsi="Arial" w:cs="Arial"/>
          <w:color w:val="FF0000"/>
          <w:shd w:val="clear" w:color="auto" w:fill="FFFFFF"/>
        </w:rPr>
      </w:pPr>
      <w:r>
        <w:rPr>
          <w:rFonts w:ascii="Arial" w:hAnsi="Arial" w:cs="Arial"/>
          <w:color w:val="FF0000"/>
          <w:shd w:val="clear" w:color="auto" w:fill="FFFFFF"/>
        </w:rPr>
        <w:t>Dilatoire</w:t>
      </w:r>
    </w:p>
    <w:p w14:paraId="62703BEF" w14:textId="77777777" w:rsidR="004529B3" w:rsidRDefault="004529B3" w:rsidP="004529B3">
      <w:pPr>
        <w:pStyle w:val="NormalWeb"/>
        <w:shd w:val="clear" w:color="auto" w:fill="FFFFFF"/>
        <w:spacing w:before="0" w:beforeAutospacing="0" w:after="150" w:afterAutospacing="0"/>
        <w:rPr>
          <w:rFonts w:ascii="Arial" w:hAnsi="Arial" w:cs="Arial"/>
          <w:color w:val="565656"/>
          <w:sz w:val="23"/>
          <w:szCs w:val="23"/>
        </w:rPr>
      </w:pPr>
      <w:r>
        <w:rPr>
          <w:rFonts w:ascii="Arial" w:hAnsi="Arial" w:cs="Arial"/>
          <w:color w:val="565656"/>
          <w:sz w:val="23"/>
          <w:szCs w:val="23"/>
        </w:rPr>
        <w:t>Sont qualifiés dilatoires les procédure, moyen, argument qui tendent à retarder, à gagner du temps.</w:t>
      </w:r>
    </w:p>
    <w:p w14:paraId="06B83757" w14:textId="77777777" w:rsidR="004529B3" w:rsidRDefault="004529B3" w:rsidP="004529B3">
      <w:pPr>
        <w:pStyle w:val="NormalWeb"/>
        <w:shd w:val="clear" w:color="auto" w:fill="FFFFFF"/>
        <w:spacing w:before="0" w:beforeAutospacing="0" w:after="150" w:afterAutospacing="0"/>
        <w:rPr>
          <w:rFonts w:ascii="Arial" w:hAnsi="Arial" w:cs="Arial"/>
          <w:color w:val="565656"/>
          <w:sz w:val="23"/>
          <w:szCs w:val="23"/>
        </w:rPr>
      </w:pPr>
      <w:r>
        <w:rPr>
          <w:rFonts w:ascii="Arial" w:hAnsi="Arial" w:cs="Arial"/>
          <w:color w:val="565656"/>
          <w:sz w:val="23"/>
          <w:szCs w:val="23"/>
        </w:rPr>
        <w:t>Lorsque c’est là leur seul but, ils sont communément dits « purement dilatoires ».</w:t>
      </w:r>
    </w:p>
    <w:p w14:paraId="642FAD37" w14:textId="77777777" w:rsidR="004529B3" w:rsidRDefault="004529B3" w:rsidP="004529B3">
      <w:pPr>
        <w:pStyle w:val="NormalWeb"/>
        <w:shd w:val="clear" w:color="auto" w:fill="FFFFFF"/>
        <w:spacing w:before="0" w:beforeAutospacing="0" w:after="150" w:afterAutospacing="0"/>
        <w:rPr>
          <w:rFonts w:ascii="Arial" w:hAnsi="Arial" w:cs="Arial"/>
          <w:color w:val="565656"/>
          <w:sz w:val="23"/>
          <w:szCs w:val="23"/>
        </w:rPr>
      </w:pPr>
      <w:r>
        <w:rPr>
          <w:rFonts w:ascii="Arial" w:hAnsi="Arial" w:cs="Arial"/>
          <w:color w:val="565656"/>
          <w:sz w:val="23"/>
          <w:szCs w:val="23"/>
        </w:rPr>
        <w:t>Une telle attitude peut justifier une demande de dommages et intérêts, par exemple, pour procédure ou résistance abusive.</w:t>
      </w:r>
    </w:p>
    <w:p w14:paraId="7D02DCC5" w14:textId="7B87BF3F" w:rsidR="004529B3" w:rsidRDefault="004529B3">
      <w:pPr>
        <w:rPr>
          <w:color w:val="FF0000"/>
        </w:rPr>
      </w:pPr>
    </w:p>
    <w:p w14:paraId="21C0C81A" w14:textId="7C8B57B0" w:rsidR="00F01897" w:rsidRDefault="00F01897">
      <w:hyperlink r:id="rId7" w:history="1">
        <w:r>
          <w:rPr>
            <w:rStyle w:val="Lienhypertexte"/>
          </w:rPr>
          <w:t>http://www.sud-travail-affaires-sociales.org/spip.php?article346</w:t>
        </w:r>
      </w:hyperlink>
    </w:p>
    <w:p w14:paraId="08AFF958" w14:textId="0E7C37D8" w:rsidR="00F01897" w:rsidRDefault="00F01897">
      <w:pPr>
        <w:rPr>
          <w:rFonts w:ascii="Verdana" w:hAnsi="Verdana"/>
          <w:color w:val="222222"/>
          <w:sz w:val="23"/>
          <w:szCs w:val="23"/>
          <w:shd w:val="clear" w:color="auto" w:fill="FFFFFF"/>
        </w:rPr>
      </w:pPr>
      <w:r>
        <w:rPr>
          <w:rFonts w:ascii="Verdana" w:hAnsi="Verdana"/>
          <w:color w:val="222222"/>
          <w:sz w:val="23"/>
          <w:szCs w:val="23"/>
          <w:shd w:val="clear" w:color="auto" w:fill="FFFFFF"/>
        </w:rPr>
        <w:t xml:space="preserve">Sur quels textes vous </w:t>
      </w:r>
      <w:proofErr w:type="gramStart"/>
      <w:r>
        <w:rPr>
          <w:rFonts w:ascii="Verdana" w:hAnsi="Verdana"/>
          <w:color w:val="222222"/>
          <w:sz w:val="23"/>
          <w:szCs w:val="23"/>
          <w:shd w:val="clear" w:color="auto" w:fill="FFFFFF"/>
        </w:rPr>
        <w:t>appuyez vous</w:t>
      </w:r>
      <w:proofErr w:type="gramEnd"/>
      <w:r>
        <w:rPr>
          <w:rFonts w:ascii="Verdana" w:hAnsi="Verdana"/>
          <w:color w:val="222222"/>
          <w:sz w:val="23"/>
          <w:szCs w:val="23"/>
          <w:shd w:val="clear" w:color="auto" w:fill="FFFFFF"/>
        </w:rPr>
        <w:t xml:space="preserve"> pour lui refuser des primes (quel article du code du travail, quel article de la convention collective, de l’accord d’entreprise, de son contrat de travail, quelle note de service, quel usage ?)</w:t>
      </w:r>
    </w:p>
    <w:p w14:paraId="4E770FA4" w14:textId="489FECEE" w:rsidR="00F01897" w:rsidRDefault="00F01897">
      <w:pPr>
        <w:rPr>
          <w:rFonts w:ascii="Verdana" w:hAnsi="Verdana"/>
          <w:color w:val="222222"/>
          <w:sz w:val="23"/>
          <w:szCs w:val="23"/>
          <w:shd w:val="clear" w:color="auto" w:fill="FFFFFF"/>
        </w:rPr>
      </w:pPr>
    </w:p>
    <w:p w14:paraId="3A5144F2" w14:textId="5EBE17F4" w:rsidR="00F01897" w:rsidRPr="004529B3" w:rsidRDefault="00F01897">
      <w:pPr>
        <w:rPr>
          <w:color w:val="FF0000"/>
        </w:rPr>
      </w:pPr>
      <w:hyperlink r:id="rId8" w:history="1">
        <w:r>
          <w:rPr>
            <w:rStyle w:val="Lienhypertexte"/>
          </w:rPr>
          <w:t>https://www.efl.fr/actualites/social/representation-du-personnel/details.html?ref=ui-5daf5242-e146-4afb-b5f2-10e4a2d497ea</w:t>
        </w:r>
      </w:hyperlink>
    </w:p>
    <w:sectPr w:rsidR="00F01897" w:rsidRPr="00452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9E"/>
    <w:rsid w:val="004529B3"/>
    <w:rsid w:val="007F76DF"/>
    <w:rsid w:val="00A03A9E"/>
    <w:rsid w:val="00F018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D971"/>
  <w15:chartTrackingRefBased/>
  <w15:docId w15:val="{B83C1DA4-5D4F-4154-8A15-A121CB88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03A9E"/>
    <w:rPr>
      <w:color w:val="0000FF"/>
      <w:u w:val="single"/>
    </w:rPr>
  </w:style>
  <w:style w:type="character" w:styleId="lev">
    <w:name w:val="Strong"/>
    <w:basedOn w:val="Policepardfaut"/>
    <w:uiPriority w:val="22"/>
    <w:qFormat/>
    <w:rsid w:val="00A03A9E"/>
    <w:rPr>
      <w:b/>
      <w:bCs/>
    </w:rPr>
  </w:style>
  <w:style w:type="paragraph" w:styleId="NormalWeb">
    <w:name w:val="Normal (Web)"/>
    <w:basedOn w:val="Normal"/>
    <w:uiPriority w:val="99"/>
    <w:semiHidden/>
    <w:unhideWhenUsed/>
    <w:rsid w:val="004529B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l.fr/actualites/social/representation-du-personnel/details.html?ref=ui-5daf5242-e146-4afb-b5f2-10e4a2d497ea" TargetMode="External"/><Relationship Id="rId3" Type="http://schemas.openxmlformats.org/officeDocument/2006/relationships/webSettings" Target="webSettings.xml"/><Relationship Id="rId7" Type="http://schemas.openxmlformats.org/officeDocument/2006/relationships/hyperlink" Target="http://www.sud-travail-affaires-sociales.org/spip.php?article3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isirprudhommes.com/fiches-prudhommes/procedure-de-licenciement-pour-motif-personnel" TargetMode="External"/><Relationship Id="rId5" Type="http://schemas.openxmlformats.org/officeDocument/2006/relationships/hyperlink" Target="https://www.capital.fr/votre-carriere/mon-employeur-peut-il-augmenter-mes-collegues-et-pas-moi-1072420" TargetMode="External"/><Relationship Id="rId10" Type="http://schemas.openxmlformats.org/officeDocument/2006/relationships/theme" Target="theme/theme1.xml"/><Relationship Id="rId4" Type="http://schemas.openxmlformats.org/officeDocument/2006/relationships/hyperlink" Target="https://www.francmuller-avocat.com/que-faire-en-cas-de-non-respect-dun-engagement-par-lemployeur/"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353</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cp:revision>
  <dcterms:created xsi:type="dcterms:W3CDTF">2020-06-17T18:10:00Z</dcterms:created>
  <dcterms:modified xsi:type="dcterms:W3CDTF">2020-06-17T18:54:00Z</dcterms:modified>
</cp:coreProperties>
</file>