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8A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Fourgon pompe tonne</w:t>
      </w:r>
    </w:p>
    <w:p w:rsidR="000C150C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drawing>
          <wp:inline distT="0" distB="0" distL="0" distR="0">
            <wp:extent cx="4325620" cy="3235960"/>
            <wp:effectExtent l="0" t="0" r="0" b="2540"/>
            <wp:docPr id="1" name="Image 1" descr="http://www.gimaex.com/bild/icon/503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aex.com/bild/icon/5030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0C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Empattement 3900</w:t>
      </w:r>
    </w:p>
    <w:p w:rsidR="000C150C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 xml:space="preserve">1. (Arrêté du 23 janvier 2004) « Voie utilisable par les engins de secours (en abrégé voie-engins) : voie, d'une largeur minimale de 8 mètres, comportant une chaussée répondant aux caractéristiques suivantes, quel que soit le sens de la circulation suivant lequel elle est abordée à partir de la voie publique :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Largeur, bandes réservées au stationnement exclues :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§ 3 mètres pour une voie dont la largeur exigée est comprise entre 8 et 12 mètres ;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6 mètres pour une voie dont la largeur exigée est égale ou supérieure à 12 mètres.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Toutefois, sur une longueur inférieure à 20 mètres, la largeur de la chaussée peut être réduite à 3 mètres et les accotements supprimés, sauf dans les sections de voie utilisables pour la mise en station des échelles aériennes définies au paragraphe 2 ci-dessous.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Force portante calculée pour un véhicule de 160 </w:t>
      </w:r>
      <w:proofErr w:type="spellStart"/>
      <w:r w:rsidRPr="00776087">
        <w:rPr>
          <w:rFonts w:asciiTheme="majorHAnsi" w:hAnsiTheme="majorHAnsi"/>
        </w:rPr>
        <w:t>kilonewtons</w:t>
      </w:r>
      <w:proofErr w:type="spellEnd"/>
      <w:r w:rsidRPr="00776087">
        <w:rPr>
          <w:rFonts w:asciiTheme="majorHAnsi" w:hAnsiTheme="majorHAnsi"/>
        </w:rPr>
        <w:t xml:space="preserve"> avec un maximum de 90 </w:t>
      </w:r>
      <w:proofErr w:type="spellStart"/>
      <w:r w:rsidRPr="00776087">
        <w:rPr>
          <w:rFonts w:asciiTheme="majorHAnsi" w:hAnsiTheme="majorHAnsi"/>
        </w:rPr>
        <w:t>kilonewtons</w:t>
      </w:r>
      <w:proofErr w:type="spellEnd"/>
      <w:r w:rsidRPr="00776087">
        <w:rPr>
          <w:rFonts w:asciiTheme="majorHAnsi" w:hAnsiTheme="majorHAnsi"/>
        </w:rPr>
        <w:t xml:space="preserve"> par essieu, ceux-ci étant distants de 3,60 mètres au minimum.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Résistance au </w:t>
      </w:r>
      <w:proofErr w:type="spellStart"/>
      <w:r w:rsidRPr="00776087">
        <w:rPr>
          <w:rFonts w:asciiTheme="majorHAnsi" w:hAnsiTheme="majorHAnsi"/>
        </w:rPr>
        <w:t>poinconnement</w:t>
      </w:r>
      <w:proofErr w:type="spellEnd"/>
      <w:r w:rsidRPr="00776087">
        <w:rPr>
          <w:rFonts w:asciiTheme="majorHAnsi" w:hAnsiTheme="majorHAnsi"/>
        </w:rPr>
        <w:t xml:space="preserve"> : 80 N/cm2 sur une surface (Arrêté du 10 octobre 2005) « minimale » de 0,20 m2.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Rayon intérieur minimal R : 11 mètres.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</w:r>
      <w:proofErr w:type="spellStart"/>
      <w:r w:rsidRPr="00776087">
        <w:rPr>
          <w:rFonts w:asciiTheme="majorHAnsi" w:hAnsiTheme="majorHAnsi"/>
        </w:rPr>
        <w:t>Surlargeur</w:t>
      </w:r>
      <w:proofErr w:type="spellEnd"/>
      <w:r w:rsidRPr="00776087">
        <w:rPr>
          <w:rFonts w:asciiTheme="majorHAnsi" w:hAnsiTheme="majorHAnsi"/>
        </w:rPr>
        <w:t xml:space="preserve"> S = 15/R dans les virages de rayon intérieur inférieur à 50 mètres. </w:t>
      </w:r>
      <w:r w:rsidRPr="00776087">
        <w:rPr>
          <w:rFonts w:asciiTheme="majorHAnsi" w:hAnsiTheme="majorHAnsi"/>
        </w:rPr>
        <w:br/>
        <w:t xml:space="preserve">(S et R, </w:t>
      </w:r>
      <w:proofErr w:type="spellStart"/>
      <w:r w:rsidRPr="00776087">
        <w:rPr>
          <w:rFonts w:asciiTheme="majorHAnsi" w:hAnsiTheme="majorHAnsi"/>
        </w:rPr>
        <w:t>surlargeur</w:t>
      </w:r>
      <w:proofErr w:type="spellEnd"/>
      <w:r w:rsidRPr="00776087">
        <w:rPr>
          <w:rFonts w:asciiTheme="majorHAnsi" w:hAnsiTheme="majorHAnsi"/>
        </w:rPr>
        <w:t xml:space="preserve"> et rayon intérieur, étant exprimés en mètres).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br/>
        <w:t xml:space="preserve">Hauteur libre : 3,50 mètres. </w:t>
      </w:r>
      <w:r w:rsidRPr="00776087">
        <w:rPr>
          <w:rFonts w:asciiTheme="majorHAnsi" w:hAnsiTheme="majorHAnsi"/>
        </w:rPr>
        <w:br/>
      </w:r>
      <w:r w:rsidRPr="00776087">
        <w:rPr>
          <w:rFonts w:asciiTheme="majorHAnsi" w:hAnsiTheme="majorHAnsi"/>
        </w:rPr>
        <w:lastRenderedPageBreak/>
        <w:br/>
        <w:t>Pente inférieure à 15 %. »</w:t>
      </w:r>
    </w:p>
    <w:p w:rsidR="000C150C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br w:type="page"/>
      </w:r>
    </w:p>
    <w:p w:rsidR="000C150C" w:rsidRPr="00776087" w:rsidRDefault="000C150C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4E901512" wp14:editId="2E8DEF0F">
            <wp:extent cx="5760720" cy="4808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0C" w:rsidRPr="00776087" w:rsidRDefault="000C150C">
      <w:pPr>
        <w:rPr>
          <w:rFonts w:asciiTheme="majorHAnsi" w:hAnsiTheme="majorHAnsi"/>
        </w:rPr>
      </w:pP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Article CO2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du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règlement de sécurité contre les risques d’</w:t>
      </w:r>
      <w:proofErr w:type="spell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ince</w:t>
      </w:r>
      <w:proofErr w:type="spellEnd"/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spellStart"/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ndie</w:t>
      </w:r>
      <w:proofErr w:type="spellEnd"/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et de panique dans les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établissements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recevant du public (arrêté du 25 juin 1980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modifié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).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-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Article R.111-5 du code de l’urbanisme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: « </w:t>
      </w: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le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projet peut être refusé sur des terrains </w:t>
      </w:r>
      <w:proofErr w:type="spell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qu</w:t>
      </w:r>
      <w:proofErr w:type="spellEnd"/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i ne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seraient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pas desservis par des voies publiques ou </w:t>
      </w:r>
      <w:proofErr w:type="spell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pr</w:t>
      </w:r>
      <w:proofErr w:type="spellEnd"/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spell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ivées</w:t>
      </w:r>
      <w:proofErr w:type="spell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dans des conditions répondant à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son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importance ou à la destination des construction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s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ou des aménagements envisagés, et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notamment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si les caractéristiques de ces voies rende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nt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difficile la circulation ou l’utilisation </w:t>
      </w:r>
    </w:p>
    <w:p w:rsidR="000C150C" w:rsidRPr="000C150C" w:rsidRDefault="000C150C" w:rsidP="000C150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fr-FR"/>
        </w:rPr>
      </w:pPr>
      <w:proofErr w:type="gramStart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>des</w:t>
      </w:r>
      <w:proofErr w:type="gramEnd"/>
      <w:r w:rsidRPr="000C150C">
        <w:rPr>
          <w:rFonts w:asciiTheme="majorHAnsi" w:eastAsia="Times New Roman" w:hAnsiTheme="majorHAnsi" w:cs="Arial"/>
          <w:sz w:val="25"/>
          <w:szCs w:val="25"/>
          <w:lang w:eastAsia="fr-FR"/>
        </w:rPr>
        <w:t xml:space="preserve"> engins de lutte contre l’incendie ». </w:t>
      </w:r>
    </w:p>
    <w:p w:rsidR="000C150C" w:rsidRPr="00776087" w:rsidRDefault="000C150C">
      <w:pPr>
        <w:rPr>
          <w:rFonts w:asciiTheme="majorHAnsi" w:hAnsiTheme="majorHAnsi"/>
        </w:rPr>
      </w:pPr>
    </w:p>
    <w:p w:rsidR="00261BD1" w:rsidRPr="00776087" w:rsidRDefault="00261BD1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6C4D36EB" wp14:editId="1051F56B">
            <wp:extent cx="5760720" cy="65684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BD1" w:rsidRPr="00776087" w:rsidRDefault="00261BD1">
      <w:pPr>
        <w:rPr>
          <w:rFonts w:asciiTheme="majorHAnsi" w:hAnsiTheme="majorHAnsi"/>
        </w:rPr>
      </w:pPr>
    </w:p>
    <w:p w:rsidR="00261BD1" w:rsidRPr="00776087" w:rsidRDefault="00261BD1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drawing>
          <wp:inline distT="0" distB="0" distL="0" distR="0" wp14:anchorId="4311FE4D" wp14:editId="6B33E7D8">
            <wp:extent cx="5760720" cy="17551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BD1" w:rsidRPr="00776087" w:rsidRDefault="00261BD1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4FAA042F" wp14:editId="6841B70D">
            <wp:extent cx="3590476" cy="3276190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3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36" w:rsidRPr="00776087" w:rsidRDefault="00170B36">
      <w:pPr>
        <w:rPr>
          <w:rFonts w:asciiTheme="majorHAnsi" w:hAnsiTheme="majorHAnsi"/>
        </w:rPr>
      </w:pPr>
    </w:p>
    <w:p w:rsidR="00170B36" w:rsidRPr="00776087" w:rsidRDefault="00170B36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ED975 circulation en entreprise</w:t>
      </w:r>
    </w:p>
    <w:p w:rsidR="00170B36" w:rsidRPr="00776087" w:rsidRDefault="00AF4B43">
      <w:pPr>
        <w:rPr>
          <w:rFonts w:asciiTheme="majorHAnsi" w:hAnsiTheme="majorHAnsi"/>
        </w:rPr>
      </w:pPr>
      <w:hyperlink r:id="rId10" w:history="1">
        <w:r w:rsidR="00170B36" w:rsidRPr="00776087">
          <w:rPr>
            <w:rStyle w:val="Lienhypertexte"/>
            <w:rFonts w:asciiTheme="majorHAnsi" w:hAnsiTheme="majorHAnsi"/>
          </w:rPr>
          <w:t>http://www.travailler-mieux.gouv.fr/circulation-interne.html</w:t>
        </w:r>
      </w:hyperlink>
    </w:p>
    <w:p w:rsidR="00170B36" w:rsidRPr="00776087" w:rsidRDefault="00170B36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3DC35F83" wp14:editId="55A6E90B">
            <wp:extent cx="4780952" cy="6752381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6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D5" w:rsidRPr="00776087" w:rsidRDefault="009D09D5">
      <w:pPr>
        <w:rPr>
          <w:rFonts w:asciiTheme="majorHAnsi" w:hAnsiTheme="majorHAnsi"/>
        </w:rPr>
      </w:pPr>
    </w:p>
    <w:p w:rsidR="009D09D5" w:rsidRPr="00776087" w:rsidRDefault="00AF4B43">
      <w:pPr>
        <w:rPr>
          <w:rFonts w:asciiTheme="majorHAnsi" w:hAnsiTheme="majorHAnsi"/>
        </w:rPr>
      </w:pPr>
      <w:hyperlink r:id="rId12" w:history="1">
        <w:r w:rsidR="00503CCC" w:rsidRPr="00776087">
          <w:rPr>
            <w:rStyle w:val="Lienhypertexte"/>
            <w:rFonts w:asciiTheme="majorHAnsi" w:hAnsiTheme="majorHAnsi"/>
          </w:rPr>
          <w:t>http://www.sitesecurite.com/erp/CO01A05.htm</w:t>
        </w:r>
      </w:hyperlink>
    </w:p>
    <w:p w:rsidR="00503CCC" w:rsidRPr="00776087" w:rsidRDefault="00503CCC">
      <w:pPr>
        <w:rPr>
          <w:rFonts w:asciiTheme="majorHAnsi" w:hAnsiTheme="majorHAnsi"/>
        </w:rPr>
      </w:pPr>
    </w:p>
    <w:p w:rsidR="00503CCC" w:rsidRPr="00776087" w:rsidRDefault="00503CC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Conception des lieux de travail</w:t>
      </w:r>
    </w:p>
    <w:p w:rsidR="00503CCC" w:rsidRPr="00776087" w:rsidRDefault="00503CC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Obligations des maitres d’ouvrages : Réglementation</w:t>
      </w:r>
    </w:p>
    <w:p w:rsidR="00503CCC" w:rsidRPr="00776087" w:rsidRDefault="00503CC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ED773</w:t>
      </w:r>
    </w:p>
    <w:p w:rsidR="00503CCC" w:rsidRPr="00776087" w:rsidRDefault="00503CCC">
      <w:pPr>
        <w:rPr>
          <w:rFonts w:asciiTheme="majorHAnsi" w:hAnsiTheme="majorHAnsi"/>
        </w:rPr>
      </w:pPr>
      <w:r w:rsidRPr="00776087">
        <w:rPr>
          <w:rFonts w:asciiTheme="majorHAnsi" w:hAnsiTheme="majorHAnsi"/>
        </w:rPr>
        <w:t>ED950 conception des lieux et des situations de travail, santé et sécurité</w:t>
      </w:r>
    </w:p>
    <w:p w:rsidR="00670833" w:rsidRPr="00776087" w:rsidRDefault="00670833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0A322110" wp14:editId="2C1E60D0">
            <wp:extent cx="5760720" cy="1062355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ED" w:rsidRPr="00776087" w:rsidRDefault="007430ED">
      <w:pPr>
        <w:rPr>
          <w:rFonts w:asciiTheme="majorHAnsi" w:hAnsiTheme="majorHAnsi"/>
        </w:rPr>
      </w:pPr>
    </w:p>
    <w:p w:rsidR="007430ED" w:rsidRPr="00776087" w:rsidRDefault="007430ED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drawing>
          <wp:inline distT="0" distB="0" distL="0" distR="0" wp14:anchorId="356E0AED" wp14:editId="0EA1DC89">
            <wp:extent cx="5760720" cy="377761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ED" w:rsidRPr="00776087" w:rsidRDefault="007430ED">
      <w:pPr>
        <w:rPr>
          <w:rFonts w:asciiTheme="majorHAnsi" w:hAnsiTheme="majorHAnsi"/>
        </w:rPr>
      </w:pPr>
    </w:p>
    <w:p w:rsidR="007430ED" w:rsidRPr="00776087" w:rsidRDefault="007430ED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drawing>
          <wp:inline distT="0" distB="0" distL="0" distR="0" wp14:anchorId="0E856640" wp14:editId="265C0B49">
            <wp:extent cx="5760720" cy="73279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CB1" w:rsidRPr="00776087" w:rsidRDefault="00293CB1">
      <w:pPr>
        <w:rPr>
          <w:rFonts w:asciiTheme="majorHAnsi" w:hAnsiTheme="majorHAnsi"/>
        </w:rPr>
      </w:pPr>
    </w:p>
    <w:p w:rsidR="00293CB1" w:rsidRPr="00776087" w:rsidRDefault="00293CB1">
      <w:pPr>
        <w:rPr>
          <w:rFonts w:asciiTheme="majorHAnsi" w:hAnsiTheme="majorHAnsi"/>
        </w:rPr>
      </w:pPr>
      <w:r w:rsidRPr="00776087">
        <w:rPr>
          <w:rFonts w:asciiTheme="majorHAnsi" w:hAnsiTheme="majorHAnsi"/>
          <w:noProof/>
          <w:lang w:eastAsia="fr-FR"/>
        </w:rPr>
        <w:lastRenderedPageBreak/>
        <w:drawing>
          <wp:inline distT="0" distB="0" distL="0" distR="0" wp14:anchorId="7782B35D" wp14:editId="1A37C0C5">
            <wp:extent cx="5760720" cy="31813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DB" w:rsidRPr="00776087" w:rsidRDefault="00EA40DB">
      <w:pPr>
        <w:rPr>
          <w:rFonts w:asciiTheme="majorHAnsi" w:hAnsiTheme="majorHAnsi"/>
        </w:rPr>
      </w:pPr>
    </w:p>
    <w:p w:rsidR="00EA40DB" w:rsidRPr="00776087" w:rsidRDefault="00AF4B43">
      <w:pPr>
        <w:rPr>
          <w:rFonts w:asciiTheme="majorHAnsi" w:hAnsiTheme="majorHAnsi"/>
        </w:rPr>
      </w:pPr>
      <w:hyperlink r:id="rId17" w:history="1">
        <w:r w:rsidR="00EC08A4" w:rsidRPr="00776087">
          <w:rPr>
            <w:rStyle w:val="Lienhypertexte"/>
            <w:rFonts w:asciiTheme="majorHAnsi" w:hAnsiTheme="majorHAnsi"/>
          </w:rPr>
          <w:t>http://www.sante-securite-paca.org/risques_prevention/organisation_du_travail/pdf/circulation_en_entreprise.pdf</w:t>
        </w:r>
      </w:hyperlink>
    </w:p>
    <w:p w:rsidR="00EC08A4" w:rsidRPr="00776087" w:rsidRDefault="00AF4B43">
      <w:pPr>
        <w:rPr>
          <w:rFonts w:asciiTheme="majorHAnsi" w:hAnsiTheme="majorHAnsi"/>
        </w:rPr>
      </w:pPr>
      <w:hyperlink r:id="rId18" w:history="1">
        <w:r w:rsidR="009C69ED" w:rsidRPr="00776087">
          <w:rPr>
            <w:rStyle w:val="Lienhypertexte"/>
            <w:rFonts w:asciiTheme="majorHAnsi" w:hAnsiTheme="majorHAnsi"/>
          </w:rPr>
          <w:t>http://www.officiel-prevention.com/formation/prevention-routiere/detail_dossier_CHSCT.php?rub=89&amp;ssrub=197&amp;dossid=424</w:t>
        </w:r>
      </w:hyperlink>
    </w:p>
    <w:p w:rsidR="009C69ED" w:rsidRPr="00776087" w:rsidRDefault="009C69ED">
      <w:pPr>
        <w:rPr>
          <w:rStyle w:val="nowrap"/>
          <w:rFonts w:asciiTheme="majorHAnsi" w:hAnsiTheme="majorHAnsi"/>
        </w:rPr>
      </w:pPr>
      <w:r w:rsidRPr="00776087">
        <w:rPr>
          <w:rFonts w:asciiTheme="majorHAnsi" w:hAnsiTheme="majorHAnsi"/>
        </w:rPr>
        <w:t xml:space="preserve">Un </w:t>
      </w:r>
      <w:r w:rsidRPr="00776087">
        <w:rPr>
          <w:rFonts w:asciiTheme="majorHAnsi" w:hAnsiTheme="majorHAnsi"/>
          <w:b/>
          <w:bCs/>
        </w:rPr>
        <w:t>poids lourd</w:t>
      </w:r>
      <w:r w:rsidRPr="00776087">
        <w:rPr>
          <w:rFonts w:asciiTheme="majorHAnsi" w:hAnsiTheme="majorHAnsi"/>
        </w:rPr>
        <w:t xml:space="preserve"> est un </w:t>
      </w:r>
      <w:hyperlink r:id="rId19" w:tooltip="Véhicule" w:history="1">
        <w:r w:rsidRPr="00776087">
          <w:rPr>
            <w:rStyle w:val="Lienhypertexte"/>
            <w:rFonts w:asciiTheme="majorHAnsi" w:hAnsiTheme="majorHAnsi"/>
          </w:rPr>
          <w:t>véhicule</w:t>
        </w:r>
      </w:hyperlink>
      <w:r w:rsidRPr="00776087">
        <w:rPr>
          <w:rFonts w:asciiTheme="majorHAnsi" w:hAnsiTheme="majorHAnsi"/>
        </w:rPr>
        <w:t xml:space="preserve"> </w:t>
      </w:r>
      <w:hyperlink r:id="rId20" w:tooltip="Route" w:history="1">
        <w:r w:rsidRPr="00776087">
          <w:rPr>
            <w:rStyle w:val="Lienhypertexte"/>
            <w:rFonts w:asciiTheme="majorHAnsi" w:hAnsiTheme="majorHAnsi"/>
          </w:rPr>
          <w:t>routier</w:t>
        </w:r>
      </w:hyperlink>
      <w:r w:rsidRPr="00776087">
        <w:rPr>
          <w:rFonts w:asciiTheme="majorHAnsi" w:hAnsiTheme="majorHAnsi"/>
        </w:rPr>
        <w:t xml:space="preserve"> de plus de </w:t>
      </w:r>
      <w:r w:rsidRPr="00776087">
        <w:rPr>
          <w:rStyle w:val="nowrap"/>
          <w:rFonts w:asciiTheme="majorHAnsi" w:hAnsiTheme="majorHAnsi"/>
        </w:rPr>
        <w:t>3,5 tonnes</w:t>
      </w:r>
    </w:p>
    <w:p w:rsidR="009C69ED" w:rsidRPr="009C69ED" w:rsidRDefault="009C69ED" w:rsidP="009C69ED">
      <w:p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776087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Les mesures préventives techniques</w:t>
      </w:r>
    </w:p>
    <w:p w:rsidR="009C69ED" w:rsidRPr="009C69ED" w:rsidRDefault="009C69ED" w:rsidP="009C69ED">
      <w:p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9C69ED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- </w:t>
      </w:r>
      <w:r w:rsidRPr="009C69ED"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  <w:t>Dimensionnement des aires de circulation</w:t>
      </w:r>
    </w:p>
    <w:p w:rsidR="009C69ED" w:rsidRPr="009C69ED" w:rsidRDefault="009C69ED" w:rsidP="009C69E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9C69ED">
        <w:rPr>
          <w:rFonts w:asciiTheme="majorHAnsi" w:eastAsia="Times New Roman" w:hAnsiTheme="majorHAnsi" w:cs="Times New Roman"/>
          <w:sz w:val="24"/>
          <w:szCs w:val="24"/>
          <w:lang w:eastAsia="fr-FR"/>
        </w:rPr>
        <w:t>Les allées de circulation doivent être nettement délimitées et dégagées de tout encombrement et obstacle, et de largeur suffisante.</w:t>
      </w:r>
    </w:p>
    <w:p w:rsidR="009C69ED" w:rsidRPr="009C69ED" w:rsidRDefault="009C69ED" w:rsidP="009C69E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9C69ED">
        <w:rPr>
          <w:rFonts w:asciiTheme="majorHAnsi" w:eastAsia="Times New Roman" w:hAnsiTheme="majorHAnsi" w:cs="Times New Roman"/>
          <w:sz w:val="24"/>
          <w:szCs w:val="24"/>
          <w:lang w:eastAsia="fr-FR"/>
        </w:rPr>
        <w:t>Préconisations :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964"/>
        <w:gridCol w:w="2964"/>
      </w:tblGrid>
      <w:tr w:rsidR="009C69ED" w:rsidRPr="009C69ED" w:rsidTr="009C69ED">
        <w:trPr>
          <w:tblCellSpacing w:w="0" w:type="dxa"/>
        </w:trPr>
        <w:tc>
          <w:tcPr>
            <w:tcW w:w="1650" w:type="pct"/>
            <w:vAlign w:val="center"/>
            <w:hideMark/>
          </w:tcPr>
          <w:p w:rsidR="009C69ED" w:rsidRPr="009C69ED" w:rsidRDefault="009C69ED" w:rsidP="009C69E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 xml:space="preserve">Largeur minimum des voies de circulation </w:t>
            </w:r>
          </w:p>
        </w:tc>
        <w:tc>
          <w:tcPr>
            <w:tcW w:w="1650" w:type="pct"/>
            <w:vAlign w:val="center"/>
            <w:hideMark/>
          </w:tcPr>
          <w:p w:rsidR="009C69ED" w:rsidRPr="009C69ED" w:rsidRDefault="009C69ED" w:rsidP="009C69E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Circulation à sens unique</w:t>
            </w:r>
          </w:p>
        </w:tc>
        <w:tc>
          <w:tcPr>
            <w:tcW w:w="1650" w:type="pct"/>
            <w:vAlign w:val="center"/>
            <w:hideMark/>
          </w:tcPr>
          <w:p w:rsidR="009C69ED" w:rsidRPr="009C69ED" w:rsidRDefault="009C69ED" w:rsidP="009C69E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Circulation à double sens</w:t>
            </w:r>
          </w:p>
        </w:tc>
      </w:tr>
      <w:tr w:rsidR="009C69ED" w:rsidRPr="009C69ED" w:rsidTr="009C69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9ED" w:rsidRPr="009C69ED" w:rsidRDefault="009C69ED" w:rsidP="009C69E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Piéton seul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Piéton avec charge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Transpalette manuel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Transpalette électrique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Véhicule léger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Poids lourd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Chariot automoteur°</w:t>
            </w:r>
          </w:p>
        </w:tc>
        <w:tc>
          <w:tcPr>
            <w:tcW w:w="0" w:type="auto"/>
            <w:hideMark/>
          </w:tcPr>
          <w:p w:rsidR="009C69ED" w:rsidRPr="009C69ED" w:rsidRDefault="009C69ED" w:rsidP="009C69E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0,80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1,20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1,50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2,00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3,00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4,00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2,40 m</w:t>
            </w:r>
          </w:p>
        </w:tc>
        <w:tc>
          <w:tcPr>
            <w:tcW w:w="0" w:type="auto"/>
            <w:hideMark/>
          </w:tcPr>
          <w:p w:rsidR="009C69ED" w:rsidRPr="009C69ED" w:rsidRDefault="009C69ED" w:rsidP="009C69E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1,50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2,00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2,50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3,30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5,00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6,50 m</w:t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  <w:r w:rsidRPr="009C69E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  <w:t>4,00 m</w:t>
            </w:r>
          </w:p>
        </w:tc>
      </w:tr>
    </w:tbl>
    <w:p w:rsidR="009C69ED" w:rsidRPr="00776087" w:rsidRDefault="009C69ED">
      <w:pPr>
        <w:rPr>
          <w:rFonts w:asciiTheme="majorHAnsi" w:hAnsiTheme="majorHAnsi"/>
        </w:rPr>
      </w:pPr>
    </w:p>
    <w:p w:rsidR="008D0E51" w:rsidRDefault="00E3716C">
      <w:pPr>
        <w:rPr>
          <w:sz w:val="24"/>
          <w:szCs w:val="24"/>
        </w:rPr>
      </w:pPr>
      <w:r w:rsidRPr="00E3716C">
        <w:rPr>
          <w:sz w:val="24"/>
          <w:szCs w:val="24"/>
        </w:rPr>
        <w:lastRenderedPageBreak/>
        <w:t>Aux membres du CHSCT</w:t>
      </w:r>
      <w:r>
        <w:rPr>
          <w:sz w:val="24"/>
          <w:szCs w:val="24"/>
        </w:rPr>
        <w:t>.</w:t>
      </w:r>
    </w:p>
    <w:p w:rsidR="00E3716C" w:rsidRDefault="00E3716C" w:rsidP="00E3716C">
      <w:pPr>
        <w:jc w:val="both"/>
        <w:rPr>
          <w:sz w:val="24"/>
          <w:szCs w:val="24"/>
        </w:rPr>
      </w:pPr>
    </w:p>
    <w:p w:rsidR="008D0E51" w:rsidRPr="00E3716C" w:rsidRDefault="008D0E51" w:rsidP="00E3716C">
      <w:pPr>
        <w:jc w:val="both"/>
        <w:rPr>
          <w:sz w:val="24"/>
          <w:szCs w:val="24"/>
        </w:rPr>
      </w:pPr>
      <w:r w:rsidRPr="00E3716C">
        <w:rPr>
          <w:sz w:val="24"/>
          <w:szCs w:val="24"/>
        </w:rPr>
        <w:t xml:space="preserve">Face à </w:t>
      </w:r>
      <w:r w:rsidR="00E3716C">
        <w:rPr>
          <w:sz w:val="24"/>
          <w:szCs w:val="24"/>
        </w:rPr>
        <w:t xml:space="preserve">la </w:t>
      </w:r>
      <w:r w:rsidRPr="00E3716C">
        <w:rPr>
          <w:sz w:val="24"/>
          <w:szCs w:val="24"/>
        </w:rPr>
        <w:t>situation</w:t>
      </w:r>
      <w:r w:rsidR="00E3716C" w:rsidRPr="00E3716C">
        <w:rPr>
          <w:sz w:val="24"/>
          <w:szCs w:val="24"/>
        </w:rPr>
        <w:t xml:space="preserve"> décrite </w:t>
      </w:r>
      <w:r w:rsidR="00E3716C">
        <w:rPr>
          <w:sz w:val="24"/>
          <w:szCs w:val="24"/>
        </w:rPr>
        <w:t>précédemment</w:t>
      </w:r>
      <w:r w:rsidRPr="00E3716C">
        <w:rPr>
          <w:sz w:val="24"/>
          <w:szCs w:val="24"/>
        </w:rPr>
        <w:t xml:space="preserve">, il </w:t>
      </w:r>
      <w:r w:rsidR="00E7664F" w:rsidRPr="00E3716C">
        <w:rPr>
          <w:sz w:val="24"/>
          <w:szCs w:val="24"/>
        </w:rPr>
        <w:t xml:space="preserve">existe </w:t>
      </w:r>
      <w:r w:rsidRPr="00E3716C">
        <w:rPr>
          <w:sz w:val="24"/>
          <w:szCs w:val="24"/>
        </w:rPr>
        <w:t>un moti</w:t>
      </w:r>
      <w:r w:rsidR="00E3716C">
        <w:rPr>
          <w:sz w:val="24"/>
          <w:szCs w:val="24"/>
        </w:rPr>
        <w:t xml:space="preserve">f raisonnable de penser que l’aménagement du portail d’entrée </w:t>
      </w:r>
      <w:r w:rsidRPr="00E3716C">
        <w:rPr>
          <w:sz w:val="24"/>
          <w:szCs w:val="24"/>
        </w:rPr>
        <w:t xml:space="preserve">présente </w:t>
      </w:r>
      <w:r w:rsidR="00E3716C">
        <w:rPr>
          <w:sz w:val="24"/>
          <w:szCs w:val="24"/>
        </w:rPr>
        <w:t>une lacune dans sa conception et qu</w:t>
      </w:r>
      <w:r w:rsidR="00AF4B43">
        <w:rPr>
          <w:sz w:val="24"/>
          <w:szCs w:val="24"/>
        </w:rPr>
        <w:t>e</w:t>
      </w:r>
      <w:r w:rsidR="00E3716C">
        <w:rPr>
          <w:sz w:val="24"/>
          <w:szCs w:val="24"/>
        </w:rPr>
        <w:t xml:space="preserve"> </w:t>
      </w:r>
      <w:r w:rsidR="00AF4B43">
        <w:rPr>
          <w:sz w:val="24"/>
          <w:szCs w:val="24"/>
        </w:rPr>
        <w:t>cela</w:t>
      </w:r>
      <w:r w:rsidR="00E3716C">
        <w:rPr>
          <w:sz w:val="24"/>
          <w:szCs w:val="24"/>
        </w:rPr>
        <w:t xml:space="preserve"> </w:t>
      </w:r>
      <w:r w:rsidR="00AF4B43">
        <w:rPr>
          <w:sz w:val="24"/>
          <w:szCs w:val="24"/>
        </w:rPr>
        <w:t xml:space="preserve">peut </w:t>
      </w:r>
      <w:r w:rsidR="00E3716C">
        <w:rPr>
          <w:sz w:val="24"/>
          <w:szCs w:val="24"/>
        </w:rPr>
        <w:t>entrainer un</w:t>
      </w:r>
      <w:r w:rsidR="00AF4B43">
        <w:rPr>
          <w:sz w:val="24"/>
          <w:szCs w:val="24"/>
        </w:rPr>
        <w:t>e</w:t>
      </w:r>
      <w:r w:rsidR="00E3716C">
        <w:rPr>
          <w:sz w:val="24"/>
          <w:szCs w:val="24"/>
        </w:rPr>
        <w:t xml:space="preserve"> collision entre un véhicule et un piéton. Il s’agit d’un </w:t>
      </w:r>
      <w:r w:rsidR="00AF4B43">
        <w:rPr>
          <w:sz w:val="24"/>
          <w:szCs w:val="24"/>
        </w:rPr>
        <w:t>problème</w:t>
      </w:r>
      <w:r w:rsidR="00E3716C">
        <w:rPr>
          <w:sz w:val="24"/>
          <w:szCs w:val="24"/>
        </w:rPr>
        <w:t xml:space="preserve"> de sécurité qui présente</w:t>
      </w:r>
      <w:r w:rsidR="00AF4B43">
        <w:rPr>
          <w:sz w:val="24"/>
          <w:szCs w:val="24"/>
        </w:rPr>
        <w:t xml:space="preserve"> </w:t>
      </w:r>
      <w:r w:rsidR="00E3716C">
        <w:rPr>
          <w:sz w:val="24"/>
          <w:szCs w:val="24"/>
        </w:rPr>
        <w:t xml:space="preserve"> un </w:t>
      </w:r>
      <w:r w:rsidRPr="00E3716C">
        <w:rPr>
          <w:sz w:val="24"/>
          <w:szCs w:val="24"/>
        </w:rPr>
        <w:t>danger imminent pour la vie ou la santé du personnel</w:t>
      </w:r>
      <w:r w:rsidR="00776087" w:rsidRPr="00E3716C">
        <w:rPr>
          <w:sz w:val="24"/>
          <w:szCs w:val="24"/>
        </w:rPr>
        <w:t>.</w:t>
      </w:r>
    </w:p>
    <w:p w:rsidR="008D0E51" w:rsidRPr="00E3716C" w:rsidRDefault="00776087" w:rsidP="00776087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E3716C">
        <w:rPr>
          <w:rFonts w:eastAsia="Times New Roman" w:cs="Arial"/>
          <w:sz w:val="24"/>
          <w:szCs w:val="24"/>
          <w:lang w:eastAsia="fr-FR"/>
        </w:rPr>
        <w:t>En tant que salarié responsable, j</w:t>
      </w:r>
      <w:r w:rsidR="00E3716C">
        <w:rPr>
          <w:rFonts w:eastAsia="Times New Roman" w:cs="Arial"/>
          <w:sz w:val="24"/>
          <w:szCs w:val="24"/>
          <w:lang w:eastAsia="fr-FR"/>
        </w:rPr>
        <w:t xml:space="preserve">e tiens à </w:t>
      </w:r>
      <w:r w:rsidRPr="00E3716C">
        <w:rPr>
          <w:rFonts w:eastAsia="Times New Roman" w:cs="Arial"/>
          <w:sz w:val="24"/>
          <w:szCs w:val="24"/>
          <w:lang w:eastAsia="fr-FR"/>
        </w:rPr>
        <w:t>informe</w:t>
      </w:r>
      <w:r w:rsidR="00E3716C">
        <w:rPr>
          <w:rFonts w:eastAsia="Times New Roman" w:cs="Arial"/>
          <w:sz w:val="24"/>
          <w:szCs w:val="24"/>
          <w:lang w:eastAsia="fr-FR"/>
        </w:rPr>
        <w:t xml:space="preserve">r </w:t>
      </w:r>
      <w:r w:rsidRPr="00E3716C">
        <w:rPr>
          <w:rFonts w:eastAsia="Times New Roman" w:cs="Arial"/>
          <w:sz w:val="24"/>
          <w:szCs w:val="24"/>
          <w:lang w:eastAsia="fr-FR"/>
        </w:rPr>
        <w:t xml:space="preserve">le CHSCT de l’existence de ce  danger afin qu’il en réfère immédiatement aux responsables du site de Toulouse en faisant jouer son droit d’alerte (C. </w:t>
      </w:r>
      <w:proofErr w:type="spellStart"/>
      <w:proofErr w:type="gramStart"/>
      <w:r w:rsidRPr="00E3716C">
        <w:rPr>
          <w:rFonts w:eastAsia="Times New Roman" w:cs="Arial"/>
          <w:sz w:val="24"/>
          <w:szCs w:val="24"/>
          <w:lang w:eastAsia="fr-FR"/>
        </w:rPr>
        <w:t>trav</w:t>
      </w:r>
      <w:proofErr w:type="spellEnd"/>
      <w:r w:rsidRPr="00E3716C">
        <w:rPr>
          <w:rFonts w:eastAsia="Times New Roman" w:cs="Arial"/>
          <w:sz w:val="24"/>
          <w:szCs w:val="24"/>
          <w:lang w:eastAsia="fr-FR"/>
        </w:rPr>
        <w:t>.,</w:t>
      </w:r>
      <w:proofErr w:type="gramEnd"/>
      <w:r w:rsidRPr="00E3716C">
        <w:rPr>
          <w:rFonts w:eastAsia="Times New Roman" w:cs="Arial"/>
          <w:sz w:val="24"/>
          <w:szCs w:val="24"/>
          <w:lang w:eastAsia="fr-FR"/>
        </w:rPr>
        <w:t xml:space="preserve"> art. L. 4131-2) </w:t>
      </w:r>
    </w:p>
    <w:p w:rsidR="00776087" w:rsidRPr="00E3716C" w:rsidRDefault="00776087" w:rsidP="00776087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776087" w:rsidRPr="00E3716C" w:rsidRDefault="00776087" w:rsidP="00776087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E3716C">
        <w:rPr>
          <w:rFonts w:eastAsia="Times New Roman" w:cs="Arial"/>
          <w:sz w:val="24"/>
          <w:szCs w:val="24"/>
          <w:lang w:eastAsia="fr-FR"/>
        </w:rPr>
        <w:t xml:space="preserve">A titre d’information, il est intéressant  de faire un rappel des </w:t>
      </w:r>
      <w:r w:rsidR="004317C9" w:rsidRPr="00E3716C">
        <w:rPr>
          <w:rFonts w:eastAsia="Times New Roman" w:cs="Arial"/>
          <w:sz w:val="24"/>
          <w:szCs w:val="24"/>
          <w:lang w:eastAsia="fr-FR"/>
        </w:rPr>
        <w:t>principes</w:t>
      </w:r>
      <w:r w:rsidRPr="00E3716C">
        <w:rPr>
          <w:rFonts w:eastAsia="Times New Roman" w:cs="Arial"/>
          <w:sz w:val="24"/>
          <w:szCs w:val="24"/>
          <w:lang w:eastAsia="fr-FR"/>
        </w:rPr>
        <w:t xml:space="preserve"> généraux </w:t>
      </w:r>
      <w:r w:rsidR="004317C9" w:rsidRPr="00E3716C">
        <w:rPr>
          <w:rFonts w:eastAsia="Times New Roman" w:cs="Arial"/>
          <w:sz w:val="24"/>
          <w:szCs w:val="24"/>
          <w:lang w:eastAsia="fr-FR"/>
        </w:rPr>
        <w:t>de prévention décrit dans l’article L.4121-2</w:t>
      </w:r>
      <w:r w:rsidR="00691545" w:rsidRPr="00E3716C">
        <w:rPr>
          <w:rFonts w:eastAsia="Times New Roman" w:cs="Arial"/>
          <w:sz w:val="24"/>
          <w:szCs w:val="24"/>
          <w:lang w:eastAsia="fr-FR"/>
        </w:rPr>
        <w:t xml:space="preserve">  CT</w:t>
      </w:r>
    </w:p>
    <w:p w:rsidR="004317C9" w:rsidRPr="00E3716C" w:rsidRDefault="004317C9" w:rsidP="00776087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4317C9" w:rsidRPr="00E3716C" w:rsidRDefault="004317C9" w:rsidP="004317C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716C">
        <w:rPr>
          <w:sz w:val="24"/>
          <w:szCs w:val="24"/>
        </w:rPr>
        <w:t>Eviter les zones à risques</w:t>
      </w:r>
    </w:p>
    <w:p w:rsidR="004317C9" w:rsidRPr="00E3716C" w:rsidRDefault="004317C9" w:rsidP="004317C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716C">
        <w:rPr>
          <w:sz w:val="24"/>
          <w:szCs w:val="24"/>
        </w:rPr>
        <w:t>Combattre les risques à la source</w:t>
      </w:r>
    </w:p>
    <w:p w:rsidR="004317C9" w:rsidRPr="00E3716C" w:rsidRDefault="004317C9" w:rsidP="004317C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716C">
        <w:rPr>
          <w:sz w:val="24"/>
          <w:szCs w:val="24"/>
        </w:rPr>
        <w:t>Remplacer ce qui est dangereux par ce qui n’est pas dangereux ou par ce qui est moins dangereux</w:t>
      </w:r>
    </w:p>
    <w:p w:rsidR="004317C9" w:rsidRPr="00E3716C" w:rsidRDefault="004317C9" w:rsidP="004317C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716C">
        <w:rPr>
          <w:sz w:val="24"/>
          <w:szCs w:val="24"/>
        </w:rPr>
        <w:t xml:space="preserve">Prendre des mesures de protections collectives  </w:t>
      </w:r>
      <w:r w:rsidR="00E3716C">
        <w:rPr>
          <w:sz w:val="24"/>
          <w:szCs w:val="24"/>
        </w:rPr>
        <w:t xml:space="preserve">et </w:t>
      </w:r>
      <w:r w:rsidR="00AF4B43">
        <w:rPr>
          <w:sz w:val="24"/>
          <w:szCs w:val="24"/>
        </w:rPr>
        <w:t>individuelles</w:t>
      </w:r>
      <w:bookmarkStart w:id="0" w:name="_GoBack"/>
      <w:bookmarkEnd w:id="0"/>
    </w:p>
    <w:p w:rsidR="00E7664F" w:rsidRPr="00E3716C" w:rsidRDefault="00E7664F" w:rsidP="00E7664F">
      <w:pPr>
        <w:spacing w:after="0" w:line="240" w:lineRule="auto"/>
        <w:rPr>
          <w:sz w:val="24"/>
          <w:szCs w:val="24"/>
        </w:rPr>
      </w:pPr>
    </w:p>
    <w:p w:rsidR="00E7664F" w:rsidRPr="00E3716C" w:rsidRDefault="00E7664F" w:rsidP="00E7664F">
      <w:pPr>
        <w:spacing w:after="0" w:line="240" w:lineRule="auto"/>
        <w:rPr>
          <w:sz w:val="24"/>
          <w:szCs w:val="24"/>
        </w:rPr>
      </w:pPr>
    </w:p>
    <w:sectPr w:rsidR="00E7664F" w:rsidRPr="00E3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601A2"/>
    <w:multiLevelType w:val="hybridMultilevel"/>
    <w:tmpl w:val="E6BAFCD6"/>
    <w:lvl w:ilvl="0" w:tplc="C7A8059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0C"/>
    <w:rsid w:val="000C150C"/>
    <w:rsid w:val="00170B36"/>
    <w:rsid w:val="00261BD1"/>
    <w:rsid w:val="00293CB1"/>
    <w:rsid w:val="003925DF"/>
    <w:rsid w:val="004317C9"/>
    <w:rsid w:val="00503CCC"/>
    <w:rsid w:val="00532DB9"/>
    <w:rsid w:val="00670833"/>
    <w:rsid w:val="00691545"/>
    <w:rsid w:val="007430ED"/>
    <w:rsid w:val="00776087"/>
    <w:rsid w:val="008D0E51"/>
    <w:rsid w:val="0093038A"/>
    <w:rsid w:val="009C69ED"/>
    <w:rsid w:val="009D09D5"/>
    <w:rsid w:val="00AF4B43"/>
    <w:rsid w:val="00E0761B"/>
    <w:rsid w:val="00E3716C"/>
    <w:rsid w:val="00E7664F"/>
    <w:rsid w:val="00EA40DB"/>
    <w:rsid w:val="00E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BD797-4255-46C4-99D8-E959AC8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5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0B36"/>
    <w:rPr>
      <w:color w:val="0563C1" w:themeColor="hyperlink"/>
      <w:u w:val="single"/>
    </w:rPr>
  </w:style>
  <w:style w:type="character" w:customStyle="1" w:styleId="nowrap">
    <w:name w:val="nowrap"/>
    <w:basedOn w:val="Policepardfaut"/>
    <w:rsid w:val="009C69ED"/>
  </w:style>
  <w:style w:type="paragraph" w:styleId="NormalWeb">
    <w:name w:val="Normal (Web)"/>
    <w:basedOn w:val="Normal"/>
    <w:uiPriority w:val="99"/>
    <w:semiHidden/>
    <w:unhideWhenUsed/>
    <w:rsid w:val="009C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6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www.officiel-prevention.com/formation/prevention-routiere/detail_dossier_CHSCT.php?rub=89&amp;ssrub=197&amp;dossid=4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sitesecurite.com/erp/CO01A05.htm" TargetMode="External"/><Relationship Id="rId17" Type="http://schemas.openxmlformats.org/officeDocument/2006/relationships/hyperlink" Target="http://www.sante-securite-paca.org/risques_prevention/organisation_du_travail/pdf/circulation_en_entreprise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fr.wikipedia.org/wiki/Rout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http://www.travailler-mieux.gouv.fr/circulation-interne.html" TargetMode="External"/><Relationship Id="rId19" Type="http://schemas.openxmlformats.org/officeDocument/2006/relationships/hyperlink" Target="http://fr.wikipedia.org/wiki/V%C3%A9hicu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B7BD60-27D6-4044-B4D6-8B75CCD1A35B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13</cp:revision>
  <dcterms:created xsi:type="dcterms:W3CDTF">2015-04-04T08:34:00Z</dcterms:created>
  <dcterms:modified xsi:type="dcterms:W3CDTF">2015-04-06T16:45:00Z</dcterms:modified>
</cp:coreProperties>
</file>