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138C" w14:textId="77777777" w:rsidR="0069228F" w:rsidRDefault="0069228F" w:rsidP="0069228F">
      <w:pPr>
        <w:pStyle w:val="text-align-justify"/>
        <w:jc w:val="both"/>
        <w:rPr>
          <w:rFonts w:ascii="Arial" w:hAnsi="Arial" w:cs="Arial"/>
          <w:color w:val="333333"/>
          <w:spacing w:val="2"/>
          <w:sz w:val="19"/>
          <w:szCs w:val="19"/>
        </w:rPr>
      </w:pPr>
      <w:r>
        <w:rPr>
          <w:rFonts w:ascii="Arial" w:hAnsi="Arial" w:cs="Arial"/>
          <w:color w:val="333333"/>
          <w:spacing w:val="2"/>
          <w:sz w:val="19"/>
          <w:szCs w:val="19"/>
        </w:rPr>
        <w:t>Dans le cadre du télétravail, encadré par loi 2012-387 du 22 mars 2012, </w:t>
      </w:r>
      <w:r>
        <w:rPr>
          <w:rStyle w:val="lev"/>
          <w:rFonts w:ascii="Arial" w:hAnsi="Arial" w:cs="Arial"/>
          <w:color w:val="333333"/>
          <w:spacing w:val="2"/>
          <w:sz w:val="19"/>
          <w:szCs w:val="19"/>
        </w:rPr>
        <w:t>l'employeur est tenu d'assurer la sécurité de son employé.</w:t>
      </w:r>
    </w:p>
    <w:p w14:paraId="75B4A3F1" w14:textId="1D1C92C1" w:rsidR="0069228F" w:rsidRDefault="0069228F" w:rsidP="0069228F">
      <w:pPr>
        <w:pStyle w:val="text-align-justify"/>
        <w:jc w:val="both"/>
        <w:rPr>
          <w:rStyle w:val="lev"/>
          <w:rFonts w:ascii="Arial" w:hAnsi="Arial" w:cs="Arial"/>
          <w:color w:val="333333"/>
          <w:spacing w:val="2"/>
          <w:sz w:val="19"/>
          <w:szCs w:val="19"/>
        </w:rPr>
      </w:pPr>
      <w:r>
        <w:rPr>
          <w:rFonts w:ascii="Arial" w:hAnsi="Arial" w:cs="Arial"/>
          <w:color w:val="333333"/>
          <w:spacing w:val="2"/>
          <w:sz w:val="19"/>
          <w:szCs w:val="19"/>
        </w:rPr>
        <w:t>L'installation électrique liée au poste de travail du télétravailleur doit répondre à une réglementation</w:t>
      </w:r>
      <w:r>
        <w:rPr>
          <w:rFonts w:ascii="Arial" w:hAnsi="Arial" w:cs="Arial"/>
          <w:color w:val="333333"/>
          <w:spacing w:val="2"/>
          <w:sz w:val="19"/>
          <w:szCs w:val="19"/>
          <w:vertAlign w:val="superscript"/>
        </w:rPr>
        <w:t>*</w:t>
      </w:r>
      <w:r>
        <w:rPr>
          <w:rFonts w:ascii="Arial" w:hAnsi="Arial" w:cs="Arial"/>
          <w:color w:val="333333"/>
          <w:spacing w:val="2"/>
          <w:sz w:val="19"/>
          <w:szCs w:val="19"/>
        </w:rPr>
        <w:t> précise et sa conformité validée par un organisme compétent. Avec la vérification de la conformité des postes de télétravail, </w:t>
      </w:r>
      <w:r>
        <w:rPr>
          <w:rStyle w:val="lev"/>
          <w:rFonts w:ascii="Arial" w:hAnsi="Arial" w:cs="Arial"/>
          <w:color w:val="333333"/>
          <w:spacing w:val="2"/>
          <w:sz w:val="19"/>
          <w:szCs w:val="19"/>
        </w:rPr>
        <w:t>l'employeur répond à son obligation de sécurité de résultat vis-à-vis de son employé et peut en apporter la preuve.</w:t>
      </w:r>
    </w:p>
    <w:p w14:paraId="20CAB59D" w14:textId="77777777" w:rsidR="0069228F" w:rsidRPr="0069228F" w:rsidRDefault="0069228F" w:rsidP="0069228F">
      <w:pPr>
        <w:shd w:val="clear" w:color="auto" w:fill="FFFFFF"/>
        <w:spacing w:before="240" w:after="240" w:line="288" w:lineRule="atLeast"/>
        <w:outlineLvl w:val="1"/>
        <w:rPr>
          <w:rFonts w:ascii="Source Sans Pro" w:eastAsia="Times New Roman" w:hAnsi="Source Sans Pro" w:cs="Times New Roman"/>
          <w:color w:val="DF2929"/>
          <w:sz w:val="36"/>
          <w:szCs w:val="36"/>
          <w:lang w:eastAsia="fr-FR"/>
        </w:rPr>
      </w:pPr>
      <w:r w:rsidRPr="0069228F">
        <w:rPr>
          <w:rFonts w:ascii="Source Sans Pro" w:eastAsia="Times New Roman" w:hAnsi="Source Sans Pro" w:cs="Times New Roman"/>
          <w:color w:val="DF2929"/>
          <w:sz w:val="36"/>
          <w:szCs w:val="36"/>
          <w:lang w:eastAsia="fr-FR"/>
        </w:rPr>
        <w:t>Une obligation de résultat</w:t>
      </w:r>
    </w:p>
    <w:p w14:paraId="1BA60AA6" w14:textId="77777777" w:rsidR="0069228F" w:rsidRPr="0069228F" w:rsidRDefault="0069228F" w:rsidP="0069228F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555555"/>
          <w:sz w:val="21"/>
          <w:szCs w:val="21"/>
          <w:lang w:eastAsia="fr-FR"/>
        </w:rPr>
      </w:pPr>
      <w:r w:rsidRPr="0069228F">
        <w:rPr>
          <w:rFonts w:ascii="Source Sans Pro" w:eastAsia="Times New Roman" w:hAnsi="Source Sans Pro" w:cs="Times New Roman"/>
          <w:color w:val="555555"/>
          <w:sz w:val="21"/>
          <w:szCs w:val="21"/>
          <w:lang w:eastAsia="fr-FR"/>
        </w:rPr>
        <w:t>L’employeur est tenu par la loi de prendre toutes les mesures nécessaires pour assurer la sécurité et protéger la santé physique et mentale de ses salariés (</w:t>
      </w:r>
      <w:r w:rsidRPr="0069228F">
        <w:rPr>
          <w:rFonts w:ascii="Source Sans Pro" w:eastAsia="Times New Roman" w:hAnsi="Source Sans Pro" w:cs="Times New Roman"/>
          <w:i/>
          <w:iCs/>
          <w:color w:val="555555"/>
          <w:sz w:val="21"/>
          <w:szCs w:val="21"/>
          <w:lang w:eastAsia="fr-FR"/>
        </w:rPr>
        <w:t>article L. 4121-1 du Code du travail</w:t>
      </w:r>
      <w:r w:rsidRPr="0069228F">
        <w:rPr>
          <w:rFonts w:ascii="Source Sans Pro" w:eastAsia="Times New Roman" w:hAnsi="Source Sans Pro" w:cs="Times New Roman"/>
          <w:color w:val="555555"/>
          <w:sz w:val="21"/>
          <w:szCs w:val="21"/>
          <w:lang w:eastAsia="fr-FR"/>
        </w:rPr>
        <w:t>). L’employeur ne doit pas seulement diminuer le risque, mais l’empêcher. Cette obligation est une obligation de résultat (</w:t>
      </w:r>
      <w:r w:rsidRPr="0069228F">
        <w:rPr>
          <w:rFonts w:ascii="Source Sans Pro" w:eastAsia="Times New Roman" w:hAnsi="Source Sans Pro" w:cs="Times New Roman"/>
          <w:i/>
          <w:iCs/>
          <w:color w:val="555555"/>
          <w:sz w:val="21"/>
          <w:szCs w:val="21"/>
          <w:lang w:eastAsia="fr-FR"/>
        </w:rPr>
        <w:t>Cour de cassation, chambre sociale, 22 février 2002, pourvoi n° 99-18389</w:t>
      </w:r>
      <w:r w:rsidRPr="0069228F">
        <w:rPr>
          <w:rFonts w:ascii="Source Sans Pro" w:eastAsia="Times New Roman" w:hAnsi="Source Sans Pro" w:cs="Times New Roman"/>
          <w:color w:val="555555"/>
          <w:sz w:val="21"/>
          <w:szCs w:val="21"/>
          <w:lang w:eastAsia="fr-FR"/>
        </w:rPr>
        <w:t>), c’est-à-dire qu’en cas d’accident ou de maladie liée aux conditions de travail, la responsabilité de l’employeur pourra être engagée.</w:t>
      </w:r>
    </w:p>
    <w:p w14:paraId="6C36B92C" w14:textId="4A55605F" w:rsidR="0069228F" w:rsidRDefault="0069228F" w:rsidP="0069228F">
      <w:pPr>
        <w:pStyle w:val="text-align-justify"/>
        <w:jc w:val="both"/>
        <w:rPr>
          <w:rFonts w:ascii="Arial" w:hAnsi="Arial" w:cs="Arial"/>
          <w:color w:val="333333"/>
          <w:spacing w:val="2"/>
          <w:sz w:val="19"/>
          <w:szCs w:val="19"/>
        </w:rPr>
      </w:pPr>
    </w:p>
    <w:p w14:paraId="485F03FD" w14:textId="4F943E27" w:rsidR="0069228F" w:rsidRDefault="0069228F" w:rsidP="0069228F">
      <w:pPr>
        <w:pStyle w:val="text-align-justify"/>
        <w:jc w:val="both"/>
        <w:rPr>
          <w:rFonts w:ascii="Arial" w:hAnsi="Arial" w:cs="Arial"/>
          <w:color w:val="333333"/>
          <w:spacing w:val="2"/>
          <w:sz w:val="19"/>
          <w:szCs w:val="19"/>
        </w:rPr>
      </w:pP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La prévention du harcèlement moral fait également partie de l’obligation de l’employeur d’assurer la santé physique et mentale de ses salariés (</w:t>
      </w:r>
      <w:r>
        <w:rPr>
          <w:rStyle w:val="Accentuation"/>
          <w:rFonts w:ascii="Source Sans Pro" w:hAnsi="Source Sans Pro"/>
          <w:color w:val="555555"/>
          <w:sz w:val="21"/>
          <w:szCs w:val="21"/>
          <w:shd w:val="clear" w:color="auto" w:fill="FFFFFF"/>
        </w:rPr>
        <w:t>article L. 1152-1 du Code du travail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). L’employeur verra toujours sa responsabilité engagée, même si c’est un salarié qui est responsable des faits de harcèlement, et même en l’absence d’intention malveillante (</w:t>
      </w:r>
      <w:r>
        <w:rPr>
          <w:rStyle w:val="Accentuation"/>
          <w:rFonts w:ascii="Source Sans Pro" w:hAnsi="Source Sans Pro"/>
          <w:color w:val="555555"/>
          <w:sz w:val="21"/>
          <w:szCs w:val="21"/>
          <w:shd w:val="clear" w:color="auto" w:fill="FFFFFF"/>
        </w:rPr>
        <w:t>Cour de cassation, chambre sociale, 23 janvier 2013 n°11-18.855, ANI sur le stress au travail du 2 Juillet 2008, ANI Harcèlement et violence au travail du 26 mars 2010 article 2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).</w:t>
      </w:r>
    </w:p>
    <w:p w14:paraId="1B412161" w14:textId="77777777" w:rsidR="00B37C3F" w:rsidRDefault="00B37C3F"/>
    <w:sectPr w:rsidR="00B3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8F"/>
    <w:rsid w:val="0069228F"/>
    <w:rsid w:val="00B37C3F"/>
    <w:rsid w:val="00E8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3CD6"/>
  <w15:chartTrackingRefBased/>
  <w15:docId w15:val="{A351B55B-725D-4DE9-834E-1087247A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92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69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228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69228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9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92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2020-06-25T18:28:00Z</dcterms:created>
  <dcterms:modified xsi:type="dcterms:W3CDTF">2020-06-25T20:59:00Z</dcterms:modified>
</cp:coreProperties>
</file>