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9A8" w:rsidRDefault="00594FE5">
      <w:r>
        <w:rPr>
          <w:noProof/>
          <w:lang w:eastAsia="fr-FR"/>
        </w:rPr>
        <w:drawing>
          <wp:inline distT="0" distB="0" distL="0" distR="0" wp14:anchorId="06DEE2C5" wp14:editId="4B225C48">
            <wp:extent cx="5760720" cy="608390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6083906"/>
                    </a:xfrm>
                    <a:prstGeom prst="rect">
                      <a:avLst/>
                    </a:prstGeom>
                  </pic:spPr>
                </pic:pic>
              </a:graphicData>
            </a:graphic>
          </wp:inline>
        </w:drawing>
      </w:r>
    </w:p>
    <w:p w:rsidR="00594FE5" w:rsidRDefault="00594FE5"/>
    <w:p w:rsidR="00594FE5" w:rsidRDefault="00594FE5">
      <w:r>
        <w:t>(11991 – 6011) * 0.055 = 329</w:t>
      </w:r>
      <w:r w:rsidR="005D2636">
        <w:t xml:space="preserve"> *</w:t>
      </w:r>
    </w:p>
    <w:p w:rsidR="00594FE5" w:rsidRDefault="00594FE5">
      <w:r>
        <w:t>(26631 – 11991) * 0.14 = 2049.6</w:t>
      </w:r>
      <w:r w:rsidR="005D2636">
        <w:t xml:space="preserve"> *</w:t>
      </w:r>
    </w:p>
    <w:p w:rsidR="00A83094" w:rsidRDefault="00A83094">
      <w:r>
        <w:t>31731 – 10% =28558</w:t>
      </w:r>
      <w:r w:rsidR="00B70BCE">
        <w:t xml:space="preserve"> – 360 = </w:t>
      </w:r>
    </w:p>
    <w:p w:rsidR="00A83094" w:rsidRDefault="00A83094" w:rsidP="00A83094">
      <w:r>
        <w:t>(</w:t>
      </w:r>
      <w:r w:rsidR="003849B9">
        <w:t>28</w:t>
      </w:r>
      <w:r w:rsidR="00B70BCE">
        <w:t>198</w:t>
      </w:r>
      <w:r w:rsidR="003849B9">
        <w:t xml:space="preserve">- </w:t>
      </w:r>
      <w:proofErr w:type="gramStart"/>
      <w:r>
        <w:t>26631 )</w:t>
      </w:r>
      <w:proofErr w:type="gramEnd"/>
      <w:r>
        <w:t xml:space="preserve"> * 0</w:t>
      </w:r>
      <w:r w:rsidR="003849B9">
        <w:t>.3</w:t>
      </w:r>
      <w:r>
        <w:t xml:space="preserve"> = </w:t>
      </w:r>
      <w:r w:rsidR="00B70BCE">
        <w:t>469</w:t>
      </w:r>
      <w:r w:rsidR="005D2636">
        <w:t xml:space="preserve"> *</w:t>
      </w:r>
    </w:p>
    <w:p w:rsidR="005D2636" w:rsidRDefault="005269FE" w:rsidP="00A83094">
      <w:r>
        <w:t>2049+329+469 = 2847</w:t>
      </w:r>
      <w:r w:rsidR="004E47FC">
        <w:t xml:space="preserve"> </w:t>
      </w:r>
      <w:proofErr w:type="spellStart"/>
      <w:r w:rsidR="004E47FC">
        <w:t>euris</w:t>
      </w:r>
      <w:proofErr w:type="spellEnd"/>
    </w:p>
    <w:p w:rsidR="00A83094" w:rsidRDefault="00A83094"/>
    <w:tbl>
      <w:tblPr>
        <w:tblW w:w="2560" w:type="dxa"/>
        <w:tblInd w:w="55" w:type="dxa"/>
        <w:tblCellMar>
          <w:left w:w="70" w:type="dxa"/>
          <w:right w:w="70" w:type="dxa"/>
        </w:tblCellMar>
        <w:tblLook w:val="04A0" w:firstRow="1" w:lastRow="0" w:firstColumn="1" w:lastColumn="0" w:noHBand="0" w:noVBand="1"/>
      </w:tblPr>
      <w:tblGrid>
        <w:gridCol w:w="2560"/>
      </w:tblGrid>
      <w:tr w:rsidR="00A83094" w:rsidRPr="00A83094" w:rsidTr="00A83094">
        <w:trPr>
          <w:trHeight w:val="300"/>
        </w:trPr>
        <w:tc>
          <w:tcPr>
            <w:tcW w:w="2560" w:type="dxa"/>
            <w:tcBorders>
              <w:top w:val="nil"/>
              <w:left w:val="nil"/>
              <w:bottom w:val="nil"/>
              <w:right w:val="nil"/>
            </w:tcBorders>
            <w:shd w:val="clear" w:color="auto" w:fill="auto"/>
            <w:noWrap/>
            <w:vAlign w:val="bottom"/>
            <w:hideMark/>
          </w:tcPr>
          <w:p w:rsidR="00A83094" w:rsidRPr="00A83094" w:rsidRDefault="00A83094" w:rsidP="00A83094">
            <w:pPr>
              <w:spacing w:after="0" w:line="240" w:lineRule="auto"/>
              <w:jc w:val="right"/>
              <w:rPr>
                <w:rFonts w:ascii="Calibri" w:eastAsia="Times New Roman" w:hAnsi="Calibri" w:cs="Calibri"/>
                <w:color w:val="000000"/>
                <w:lang w:eastAsia="fr-FR"/>
              </w:rPr>
            </w:pPr>
          </w:p>
        </w:tc>
      </w:tr>
      <w:tr w:rsidR="00A83094" w:rsidRPr="00A83094" w:rsidTr="00A83094">
        <w:trPr>
          <w:trHeight w:val="300"/>
        </w:trPr>
        <w:tc>
          <w:tcPr>
            <w:tcW w:w="2560" w:type="dxa"/>
            <w:tcBorders>
              <w:top w:val="nil"/>
              <w:left w:val="nil"/>
              <w:bottom w:val="nil"/>
              <w:right w:val="nil"/>
            </w:tcBorders>
            <w:shd w:val="clear" w:color="auto" w:fill="auto"/>
            <w:noWrap/>
            <w:vAlign w:val="bottom"/>
            <w:hideMark/>
          </w:tcPr>
          <w:p w:rsidR="00A83094" w:rsidRPr="00A83094" w:rsidRDefault="00A83094" w:rsidP="00A83094">
            <w:pPr>
              <w:spacing w:after="0" w:line="240" w:lineRule="auto"/>
              <w:jc w:val="right"/>
              <w:rPr>
                <w:rFonts w:ascii="Calibri" w:eastAsia="Times New Roman" w:hAnsi="Calibri" w:cs="Calibri"/>
                <w:color w:val="000000"/>
                <w:lang w:eastAsia="fr-FR"/>
              </w:rPr>
            </w:pPr>
            <w:r w:rsidRPr="00A83094">
              <w:rPr>
                <w:rFonts w:ascii="Calibri" w:eastAsia="Times New Roman" w:hAnsi="Calibri" w:cs="Calibri"/>
                <w:color w:val="000000"/>
                <w:lang w:eastAsia="fr-FR"/>
              </w:rPr>
              <w:t>28558</w:t>
            </w:r>
          </w:p>
        </w:tc>
      </w:tr>
    </w:tbl>
    <w:p w:rsidR="00A83094" w:rsidRDefault="00A83094"/>
    <w:p w:rsidR="00594FE5" w:rsidRDefault="001E0135">
      <w:r>
        <w:t>Revenus fonciers : imposé à 70%</w:t>
      </w:r>
    </w:p>
    <w:p w:rsidR="001E0135" w:rsidRDefault="001E0135" w:rsidP="001E0135">
      <w:pPr>
        <w:pStyle w:val="Paragraphedeliste"/>
        <w:numPr>
          <w:ilvl w:val="0"/>
          <w:numId w:val="1"/>
        </w:numPr>
      </w:pPr>
      <w:r>
        <w:t>Micro-foncier</w:t>
      </w:r>
    </w:p>
    <w:p w:rsidR="001E0135" w:rsidRDefault="001E0135" w:rsidP="001E0135">
      <w:pPr>
        <w:pStyle w:val="Paragraphedeliste"/>
        <w:numPr>
          <w:ilvl w:val="0"/>
          <w:numId w:val="1"/>
        </w:numPr>
      </w:pPr>
      <w:r>
        <w:t>Régime réel</w:t>
      </w:r>
    </w:p>
    <w:p w:rsidR="001E0135" w:rsidRPr="001E0135" w:rsidRDefault="001E0135" w:rsidP="001E0135">
      <w:pPr>
        <w:pStyle w:val="Paragraphedeliste"/>
        <w:numPr>
          <w:ilvl w:val="0"/>
          <w:numId w:val="1"/>
        </w:numPr>
        <w:spacing w:after="0" w:line="240" w:lineRule="auto"/>
        <w:rPr>
          <w:rFonts w:ascii="Times New Roman" w:eastAsia="Times New Roman" w:hAnsi="Times New Roman" w:cs="Times New Roman"/>
          <w:sz w:val="24"/>
          <w:szCs w:val="24"/>
          <w:lang w:eastAsia="fr-FR"/>
        </w:rPr>
      </w:pPr>
      <w:r w:rsidRPr="001E0135">
        <w:rPr>
          <w:rFonts w:ascii="Times New Roman" w:eastAsia="Times New Roman" w:hAnsi="Symbol" w:cs="Times New Roman"/>
          <w:sz w:val="24"/>
          <w:szCs w:val="24"/>
          <w:lang w:eastAsia="fr-FR"/>
        </w:rPr>
        <w:t></w:t>
      </w:r>
      <w:r w:rsidRPr="001E0135">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l</w:t>
      </w:r>
      <w:r w:rsidRPr="001E0135">
        <w:rPr>
          <w:rFonts w:ascii="Times New Roman" w:eastAsia="Times New Roman" w:hAnsi="Times New Roman" w:cs="Times New Roman"/>
          <w:sz w:val="24"/>
          <w:szCs w:val="24"/>
          <w:lang w:eastAsia="fr-FR"/>
        </w:rPr>
        <w:t xml:space="preserve">es frais de gestion ; </w:t>
      </w:r>
    </w:p>
    <w:p w:rsidR="001E0135" w:rsidRPr="001E0135" w:rsidRDefault="001E0135" w:rsidP="001E0135">
      <w:pPr>
        <w:pStyle w:val="Paragraphedeliste"/>
        <w:numPr>
          <w:ilvl w:val="0"/>
          <w:numId w:val="1"/>
        </w:numPr>
        <w:spacing w:after="0" w:line="240" w:lineRule="auto"/>
        <w:rPr>
          <w:rFonts w:ascii="Times New Roman" w:eastAsia="Times New Roman" w:hAnsi="Times New Roman" w:cs="Times New Roman"/>
          <w:sz w:val="24"/>
          <w:szCs w:val="24"/>
          <w:lang w:eastAsia="fr-FR"/>
        </w:rPr>
      </w:pPr>
      <w:r w:rsidRPr="001E0135">
        <w:rPr>
          <w:rFonts w:ascii="Times New Roman" w:eastAsia="Times New Roman" w:hAnsi="Symbol" w:cs="Times New Roman"/>
          <w:sz w:val="24"/>
          <w:szCs w:val="24"/>
          <w:lang w:eastAsia="fr-FR"/>
        </w:rPr>
        <w:t></w:t>
      </w:r>
      <w:r w:rsidRPr="001E0135">
        <w:rPr>
          <w:rFonts w:ascii="Times New Roman" w:eastAsia="Times New Roman" w:hAnsi="Times New Roman" w:cs="Times New Roman"/>
          <w:sz w:val="24"/>
          <w:szCs w:val="24"/>
          <w:lang w:eastAsia="fr-FR"/>
        </w:rPr>
        <w:t xml:space="preserve">  les primes d'assurances loyers impayés ou Garantie des risques locatifs (GRL) ; </w:t>
      </w:r>
    </w:p>
    <w:p w:rsidR="001E0135" w:rsidRPr="001E0135" w:rsidRDefault="001E0135" w:rsidP="001E0135">
      <w:pPr>
        <w:pStyle w:val="Paragraphedeliste"/>
        <w:numPr>
          <w:ilvl w:val="0"/>
          <w:numId w:val="1"/>
        </w:numPr>
        <w:spacing w:after="0" w:line="240" w:lineRule="auto"/>
        <w:rPr>
          <w:rFonts w:ascii="Times New Roman" w:eastAsia="Times New Roman" w:hAnsi="Times New Roman" w:cs="Times New Roman"/>
          <w:sz w:val="24"/>
          <w:szCs w:val="24"/>
          <w:lang w:eastAsia="fr-FR"/>
        </w:rPr>
      </w:pPr>
      <w:r w:rsidRPr="001E0135">
        <w:rPr>
          <w:rFonts w:ascii="Times New Roman" w:eastAsia="Times New Roman" w:hAnsi="Symbol" w:cs="Times New Roman"/>
          <w:sz w:val="24"/>
          <w:szCs w:val="24"/>
          <w:lang w:eastAsia="fr-FR"/>
        </w:rPr>
        <w:t></w:t>
      </w:r>
      <w:r w:rsidRPr="001E0135">
        <w:rPr>
          <w:rFonts w:ascii="Times New Roman" w:eastAsia="Times New Roman" w:hAnsi="Times New Roman" w:cs="Times New Roman"/>
          <w:sz w:val="24"/>
          <w:szCs w:val="24"/>
          <w:lang w:eastAsia="fr-FR"/>
        </w:rPr>
        <w:t xml:space="preserve">  les réparations et l'entretien ; </w:t>
      </w:r>
    </w:p>
    <w:p w:rsidR="001E0135" w:rsidRPr="001E0135" w:rsidRDefault="001E0135" w:rsidP="001E0135">
      <w:pPr>
        <w:pStyle w:val="Paragraphedeliste"/>
        <w:numPr>
          <w:ilvl w:val="0"/>
          <w:numId w:val="1"/>
        </w:numPr>
        <w:spacing w:after="0" w:line="240" w:lineRule="auto"/>
        <w:rPr>
          <w:rFonts w:ascii="Times New Roman" w:eastAsia="Times New Roman" w:hAnsi="Times New Roman" w:cs="Times New Roman"/>
          <w:sz w:val="24"/>
          <w:szCs w:val="24"/>
          <w:lang w:eastAsia="fr-FR"/>
        </w:rPr>
      </w:pPr>
      <w:r w:rsidRPr="001E0135">
        <w:rPr>
          <w:rFonts w:ascii="Times New Roman" w:eastAsia="Times New Roman" w:hAnsi="Symbol" w:cs="Times New Roman"/>
          <w:sz w:val="24"/>
          <w:szCs w:val="24"/>
          <w:lang w:eastAsia="fr-FR"/>
        </w:rPr>
        <w:t></w:t>
      </w:r>
      <w:r w:rsidRPr="001E0135">
        <w:rPr>
          <w:rFonts w:ascii="Times New Roman" w:eastAsia="Times New Roman" w:hAnsi="Times New Roman" w:cs="Times New Roman"/>
          <w:sz w:val="24"/>
          <w:szCs w:val="24"/>
          <w:lang w:eastAsia="fr-FR"/>
        </w:rPr>
        <w:t xml:space="preserve">  les diagnostics ; </w:t>
      </w:r>
    </w:p>
    <w:p w:rsidR="001E0135" w:rsidRPr="001E0135" w:rsidRDefault="001E0135" w:rsidP="001E0135">
      <w:pPr>
        <w:pStyle w:val="Paragraphedeliste"/>
        <w:numPr>
          <w:ilvl w:val="0"/>
          <w:numId w:val="1"/>
        </w:numPr>
        <w:spacing w:after="0" w:line="240" w:lineRule="auto"/>
        <w:rPr>
          <w:rFonts w:ascii="Times New Roman" w:eastAsia="Times New Roman" w:hAnsi="Times New Roman" w:cs="Times New Roman"/>
          <w:sz w:val="24"/>
          <w:szCs w:val="24"/>
          <w:lang w:eastAsia="fr-FR"/>
        </w:rPr>
      </w:pPr>
      <w:r w:rsidRPr="001E0135">
        <w:rPr>
          <w:rFonts w:ascii="Times New Roman" w:eastAsia="Times New Roman" w:hAnsi="Symbol" w:cs="Times New Roman"/>
          <w:sz w:val="24"/>
          <w:szCs w:val="24"/>
          <w:lang w:eastAsia="fr-FR"/>
        </w:rPr>
        <w:t></w:t>
      </w:r>
      <w:r w:rsidRPr="001E0135">
        <w:rPr>
          <w:rFonts w:ascii="Times New Roman" w:eastAsia="Times New Roman" w:hAnsi="Times New Roman" w:cs="Times New Roman"/>
          <w:sz w:val="24"/>
          <w:szCs w:val="24"/>
          <w:lang w:eastAsia="fr-FR"/>
        </w:rPr>
        <w:t xml:space="preserve">  les travaux d'amélioration ; </w:t>
      </w:r>
    </w:p>
    <w:p w:rsidR="001E0135" w:rsidRPr="001E0135" w:rsidRDefault="001E0135" w:rsidP="001E0135">
      <w:pPr>
        <w:pStyle w:val="Paragraphedeliste"/>
        <w:numPr>
          <w:ilvl w:val="0"/>
          <w:numId w:val="1"/>
        </w:numPr>
        <w:spacing w:after="0" w:line="240" w:lineRule="auto"/>
        <w:rPr>
          <w:rFonts w:ascii="Times New Roman" w:eastAsia="Times New Roman" w:hAnsi="Times New Roman" w:cs="Times New Roman"/>
          <w:sz w:val="24"/>
          <w:szCs w:val="24"/>
          <w:lang w:eastAsia="fr-FR"/>
        </w:rPr>
      </w:pPr>
      <w:r w:rsidRPr="001E0135">
        <w:rPr>
          <w:rFonts w:ascii="Times New Roman" w:eastAsia="Times New Roman" w:hAnsi="Symbol" w:cs="Times New Roman"/>
          <w:sz w:val="24"/>
          <w:szCs w:val="24"/>
          <w:lang w:eastAsia="fr-FR"/>
        </w:rPr>
        <w:t></w:t>
      </w:r>
      <w:r w:rsidRPr="001E0135">
        <w:rPr>
          <w:rFonts w:ascii="Times New Roman" w:eastAsia="Times New Roman" w:hAnsi="Times New Roman" w:cs="Times New Roman"/>
          <w:sz w:val="24"/>
          <w:szCs w:val="24"/>
          <w:lang w:eastAsia="fr-FR"/>
        </w:rPr>
        <w:t xml:space="preserve">  les intérêts d'emprunt ; </w:t>
      </w:r>
    </w:p>
    <w:p w:rsidR="001E0135" w:rsidRPr="001E0135" w:rsidRDefault="001E0135" w:rsidP="001E0135">
      <w:pPr>
        <w:pStyle w:val="Paragraphedeliste"/>
        <w:numPr>
          <w:ilvl w:val="0"/>
          <w:numId w:val="1"/>
        </w:numPr>
      </w:pPr>
      <w:r w:rsidRPr="001E0135">
        <w:rPr>
          <w:rFonts w:ascii="Times New Roman" w:eastAsia="Times New Roman" w:hAnsi="Symbol" w:cs="Times New Roman"/>
          <w:sz w:val="24"/>
          <w:szCs w:val="24"/>
          <w:lang w:eastAsia="fr-FR"/>
        </w:rPr>
        <w:t></w:t>
      </w:r>
      <w:r w:rsidRPr="001E0135">
        <w:rPr>
          <w:rFonts w:ascii="Times New Roman" w:eastAsia="Times New Roman" w:hAnsi="Times New Roman" w:cs="Times New Roman"/>
          <w:sz w:val="24"/>
          <w:szCs w:val="24"/>
          <w:lang w:eastAsia="fr-FR"/>
        </w:rPr>
        <w:t xml:space="preserve">  les provisions pour charges de </w:t>
      </w:r>
      <w:hyperlink r:id="rId7" w:tgtFrame="_blank" w:history="1">
        <w:r w:rsidRPr="001E0135">
          <w:rPr>
            <w:rFonts w:ascii="Times New Roman" w:eastAsia="Times New Roman" w:hAnsi="Times New Roman" w:cs="Times New Roman"/>
            <w:color w:val="0000FF"/>
            <w:sz w:val="24"/>
            <w:szCs w:val="24"/>
            <w:u w:val="single"/>
            <w:lang w:eastAsia="fr-FR"/>
          </w:rPr>
          <w:t>copropriété</w:t>
        </w:r>
      </w:hyperlink>
      <w:r w:rsidRPr="001E0135">
        <w:rPr>
          <w:rFonts w:ascii="Times New Roman" w:eastAsia="Times New Roman" w:hAnsi="Times New Roman" w:cs="Times New Roman"/>
          <w:sz w:val="24"/>
          <w:szCs w:val="24"/>
          <w:lang w:eastAsia="fr-FR"/>
        </w:rPr>
        <w:t>.</w:t>
      </w:r>
    </w:p>
    <w:p w:rsidR="001E0135" w:rsidRDefault="001E0135" w:rsidP="001E0135">
      <w:pPr>
        <w:pStyle w:val="NormalWeb"/>
      </w:pPr>
      <w:r>
        <w:t xml:space="preserve">Le régime réel s'applique : </w:t>
      </w:r>
    </w:p>
    <w:p w:rsidR="001E0135" w:rsidRDefault="001E0135" w:rsidP="001E0135">
      <w:pPr>
        <w:pStyle w:val="NormalWeb"/>
        <w:numPr>
          <w:ilvl w:val="0"/>
          <w:numId w:val="2"/>
        </w:numPr>
      </w:pPr>
      <w:r>
        <w:t xml:space="preserve">lorsque vos revenus dépassent </w:t>
      </w:r>
      <w:r>
        <w:rPr>
          <w:rStyle w:val="prix"/>
        </w:rPr>
        <w:t>15.000 €</w:t>
      </w:r>
      <w:r>
        <w:t xml:space="preserve">, </w:t>
      </w:r>
    </w:p>
    <w:p w:rsidR="001E0135" w:rsidRDefault="001E0135" w:rsidP="001E0135">
      <w:pPr>
        <w:pStyle w:val="NormalWeb"/>
        <w:numPr>
          <w:ilvl w:val="0"/>
          <w:numId w:val="2"/>
        </w:numPr>
      </w:pPr>
      <w:r>
        <w:t xml:space="preserve">ou si vous choisissez volontairement cette formule. Dans ce cas, l'option est irrévocable pendant 3 ans. </w:t>
      </w:r>
    </w:p>
    <w:p w:rsidR="001E0135" w:rsidRDefault="001E0135" w:rsidP="001E0135">
      <w:pPr>
        <w:pStyle w:val="NormalWeb"/>
      </w:pPr>
      <w:r>
        <w:t>Vous devez calculer votre revenu net foncier, c'est-à-dire le revenu brut (loyers encaissées pendant l'année) déduction faite des charges (travaux, assurance, impôts fonciers, etc.).</w:t>
      </w:r>
    </w:p>
    <w:p w:rsidR="001E0135" w:rsidRDefault="001E0135" w:rsidP="001E0135">
      <w:pPr>
        <w:pStyle w:val="NormalWeb"/>
      </w:pPr>
      <w:r>
        <w:t>Pour bénéficier de cette formule, vous devez indiquer le détail du calcul du revenu net foncier sur une déclaration spécifique (</w:t>
      </w:r>
      <w:hyperlink r:id="rId8" w:history="1">
        <w:r>
          <w:rPr>
            <w:rStyle w:val="Lienhypertexte"/>
          </w:rPr>
          <w:t>n°2044)</w:t>
        </w:r>
      </w:hyperlink>
      <w:r>
        <w:t xml:space="preserve"> à annexer à votre déclaration d'ensemble </w:t>
      </w:r>
      <w:hyperlink r:id="rId9" w:history="1">
        <w:r>
          <w:rPr>
            <w:rStyle w:val="Lienhypertexte"/>
          </w:rPr>
          <w:t>(n°2042).</w:t>
        </w:r>
      </w:hyperlink>
      <w:r>
        <w:t xml:space="preserve"> </w:t>
      </w:r>
    </w:p>
    <w:p w:rsidR="001E0135" w:rsidRDefault="001E0135" w:rsidP="001E0135">
      <w:pPr>
        <w:pStyle w:val="NormalWeb"/>
      </w:pPr>
      <w:r>
        <w:t xml:space="preserve">Si vous dégagez un bénéfice, c'est cette somme qui sera imposable. </w:t>
      </w:r>
    </w:p>
    <w:p w:rsidR="001E0135" w:rsidRDefault="001E0135" w:rsidP="001E0135">
      <w:pPr>
        <w:pStyle w:val="NormalWeb"/>
      </w:pPr>
      <w:r>
        <w:t xml:space="preserve">Si vous accusez un déficit, il sera imputable sur votre revenu global sous certaines conditions. </w:t>
      </w:r>
    </w:p>
    <w:p w:rsidR="001E0135" w:rsidRDefault="00455D34" w:rsidP="001E0135">
      <w:r>
        <w:t>Le régime réel d'imposition consiste à déterminer le revenu foncier imposable en retranchant des loyers déclarés les frais et charges supportés dans l'année : frais de gestion, primes d'assurance, travaux, charges récupérables, indemnités d'éviction, impôts et taxes déductibles, déductions spécifiques, provisions de copropriété, intérêts d'emprunt...</w:t>
      </w:r>
    </w:p>
    <w:p w:rsidR="002A74A2" w:rsidRPr="002A74A2" w:rsidRDefault="002A74A2" w:rsidP="002A74A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roofErr w:type="gramStart"/>
      <w:r w:rsidRPr="002A74A2">
        <w:rPr>
          <w:rFonts w:ascii="Times New Roman" w:eastAsia="Times New Roman" w:hAnsi="Times New Roman" w:cs="Times New Roman"/>
          <w:b/>
          <w:bCs/>
          <w:kern w:val="36"/>
          <w:sz w:val="48"/>
          <w:szCs w:val="48"/>
          <w:lang w:eastAsia="fr-FR"/>
        </w:rPr>
        <w:t>les</w:t>
      </w:r>
      <w:proofErr w:type="gramEnd"/>
      <w:r w:rsidRPr="002A74A2">
        <w:rPr>
          <w:rFonts w:ascii="Times New Roman" w:eastAsia="Times New Roman" w:hAnsi="Times New Roman" w:cs="Times New Roman"/>
          <w:b/>
          <w:bCs/>
          <w:kern w:val="36"/>
          <w:sz w:val="48"/>
          <w:szCs w:val="48"/>
          <w:lang w:eastAsia="fr-FR"/>
        </w:rPr>
        <w:t xml:space="preserve"> charges déductibles </w:t>
      </w:r>
    </w:p>
    <w:p w:rsidR="002A74A2" w:rsidRDefault="001F0910" w:rsidP="001F0910">
      <w:pPr>
        <w:pStyle w:val="Paragraphedeliste"/>
        <w:numPr>
          <w:ilvl w:val="0"/>
          <w:numId w:val="1"/>
        </w:numPr>
      </w:pPr>
      <w:r>
        <w:t>une partie des frais de copropriété</w:t>
      </w:r>
    </w:p>
    <w:p w:rsidR="001F0910" w:rsidRDefault="001F0910" w:rsidP="001F0910">
      <w:pPr>
        <w:pStyle w:val="Paragraphedeliste"/>
        <w:numPr>
          <w:ilvl w:val="0"/>
          <w:numId w:val="1"/>
        </w:numPr>
      </w:pPr>
      <w:r>
        <w:t>frais assurance et gérance</w:t>
      </w:r>
    </w:p>
    <w:p w:rsidR="001F0910" w:rsidRDefault="001F0910" w:rsidP="001F0910">
      <w:pPr>
        <w:pStyle w:val="Titre3"/>
        <w:shd w:val="clear" w:color="auto" w:fill="FFFFFF"/>
        <w:rPr>
          <w:color w:val="000000"/>
        </w:rPr>
      </w:pPr>
      <w:r>
        <w:rPr>
          <w:color w:val="000000"/>
        </w:rPr>
        <w:t>Frais de gérance et de gestion</w:t>
      </w:r>
    </w:p>
    <w:p w:rsidR="001F0910" w:rsidRDefault="001F0910" w:rsidP="001F0910">
      <w:pPr>
        <w:pStyle w:val="NormalWeb"/>
        <w:shd w:val="clear" w:color="auto" w:fill="FFFFFF"/>
        <w:rPr>
          <w:color w:val="000000"/>
        </w:rPr>
      </w:pPr>
      <w:r>
        <w:rPr>
          <w:color w:val="000000"/>
        </w:rPr>
        <w:t xml:space="preserve">Les charges de gestion et de gérance doivent figurer dans les </w:t>
      </w:r>
      <w:r>
        <w:rPr>
          <w:rStyle w:val="lev"/>
          <w:color w:val="000000"/>
        </w:rPr>
        <w:t>cases 221 et 222, page 2 de l'imprimé 2044</w:t>
      </w:r>
      <w:r>
        <w:rPr>
          <w:color w:val="000000"/>
        </w:rPr>
        <w:t xml:space="preserve">. Dans la première, il convient de mentionner les rémunérations diverses versées au professionnel en charge de la location du bien, les sommes acquittées à une agence pour trouver un locataire, les honoraires payés à un cabinet tenant la comptabilité des immeubles, les frais de rémunération des concierges et des gardes ou encore les frais de procédure engagés pour le recouvrement des loyers impayés. Sur la </w:t>
      </w:r>
      <w:r>
        <w:rPr>
          <w:rStyle w:val="lev"/>
          <w:color w:val="000000"/>
        </w:rPr>
        <w:t>ligne 222</w:t>
      </w:r>
      <w:r>
        <w:rPr>
          <w:color w:val="000000"/>
        </w:rPr>
        <w:t xml:space="preserve">, une somme </w:t>
      </w:r>
      <w:r>
        <w:rPr>
          <w:color w:val="000000"/>
        </w:rPr>
        <w:lastRenderedPageBreak/>
        <w:t>forfaitaire de 20 euros par local loué est autorisée. Ce montant représente les frais acquittés par le bailleur pour assurer la location des biens : frais d'annonces, correspondance, déplacements, téléphone, équipement informatique, abonnements à des revues donnant des conseils aux bailleurs... </w:t>
      </w:r>
    </w:p>
    <w:p w:rsidR="001F0910" w:rsidRDefault="001F0910" w:rsidP="001F0910">
      <w:pPr>
        <w:pStyle w:val="Titre3"/>
        <w:shd w:val="clear" w:color="auto" w:fill="FFFFFF"/>
        <w:rPr>
          <w:color w:val="000000"/>
        </w:rPr>
      </w:pPr>
      <w:r>
        <w:rPr>
          <w:color w:val="000000"/>
        </w:rPr>
        <w:t>Primes d'assurance</w:t>
      </w:r>
    </w:p>
    <w:p w:rsidR="001F0910" w:rsidRDefault="001F0910" w:rsidP="001F0910">
      <w:pPr>
        <w:pStyle w:val="NormalWeb"/>
        <w:shd w:val="clear" w:color="auto" w:fill="FFFFFF"/>
        <w:rPr>
          <w:color w:val="000000"/>
        </w:rPr>
      </w:pPr>
      <w:r>
        <w:rPr>
          <w:color w:val="000000"/>
        </w:rPr>
        <w:t xml:space="preserve">Dans la </w:t>
      </w:r>
      <w:r>
        <w:rPr>
          <w:rStyle w:val="lev"/>
          <w:color w:val="000000"/>
        </w:rPr>
        <w:t>ligne 223 de l'imprimé 2044</w:t>
      </w:r>
      <w:r>
        <w:rPr>
          <w:color w:val="000000"/>
        </w:rPr>
        <w:t>, "primes d'assurance", la loi autorise le bailleur à déduire toutes les primes, quel que soit le risque couvert : l'assurance des loyers impayés, mais aussi tous les autres types de garanties souscrites pour le local. Attention, si pour la prime d'assurance loyers impayés le contribuable a opté pour le crédit d'impôt de 50 %, il n'est plus possible de la déduire. </w:t>
      </w:r>
    </w:p>
    <w:p w:rsidR="001F0910" w:rsidRDefault="001F0910" w:rsidP="001F0910">
      <w:pPr>
        <w:pStyle w:val="Titre3"/>
        <w:shd w:val="clear" w:color="auto" w:fill="FFFFFF"/>
        <w:rPr>
          <w:color w:val="000000"/>
        </w:rPr>
      </w:pPr>
      <w:r>
        <w:rPr>
          <w:color w:val="000000"/>
        </w:rPr>
        <w:t>Travaux de transformation</w:t>
      </w:r>
    </w:p>
    <w:p w:rsidR="001F0910" w:rsidRDefault="001F0910" w:rsidP="001F0910">
      <w:pPr>
        <w:pStyle w:val="NormalWeb"/>
        <w:shd w:val="clear" w:color="auto" w:fill="FFFFFF"/>
        <w:rPr>
          <w:color w:val="000000"/>
        </w:rPr>
      </w:pPr>
      <w:r>
        <w:rPr>
          <w:color w:val="000000"/>
        </w:rPr>
        <w:t xml:space="preserve">Les dépenses déductibles en </w:t>
      </w:r>
      <w:r>
        <w:rPr>
          <w:rStyle w:val="lev"/>
          <w:color w:val="000000"/>
        </w:rPr>
        <w:t>ligne 224 de l'imprimé 2044</w:t>
      </w:r>
      <w:r>
        <w:rPr>
          <w:color w:val="000000"/>
        </w:rPr>
        <w:t xml:space="preserve"> sont les travaux d'entretien, de réparation et d'amélioration. Pour les travaux de transformation, tout dépend de la nature des travaux réalisés. Le fisc a ainsi admis la déduction de travaux de transformation d'une maison de retraite en appartements car il n'y avait pas de modification des surfaces et des structures. A l'inverse, les travaux permettant de transformer une grange en habitation n'ont pas été admis. Pour éviter tout litige avec le fisc, il est recommandé de joindre à sa déclaration une note descriptive des travaux entrepris. </w:t>
      </w:r>
    </w:p>
    <w:p w:rsidR="001F0910" w:rsidRDefault="001F0910" w:rsidP="001F0910">
      <w:pPr>
        <w:pStyle w:val="Titre3"/>
        <w:shd w:val="clear" w:color="auto" w:fill="FFFFFF"/>
        <w:rPr>
          <w:color w:val="000000"/>
        </w:rPr>
      </w:pPr>
      <w:r>
        <w:rPr>
          <w:color w:val="000000"/>
        </w:rPr>
        <w:t>Travaux déductibles pour une boutique louée</w:t>
      </w:r>
    </w:p>
    <w:p w:rsidR="001F0910" w:rsidRDefault="001F0910" w:rsidP="001F0910">
      <w:pPr>
        <w:pStyle w:val="NormalWeb"/>
        <w:shd w:val="clear" w:color="auto" w:fill="FFFFFF"/>
        <w:rPr>
          <w:color w:val="000000"/>
        </w:rPr>
      </w:pPr>
      <w:r>
        <w:rPr>
          <w:color w:val="000000"/>
        </w:rPr>
        <w:t xml:space="preserve">Pour les immeubles loués sous le régime des baux commerciaux, le bailleur peut seulement déduire en </w:t>
      </w:r>
      <w:r>
        <w:rPr>
          <w:rStyle w:val="lev"/>
          <w:color w:val="000000"/>
        </w:rPr>
        <w:t>ligne 224 de l'imprimé 2044</w:t>
      </w:r>
      <w:r>
        <w:rPr>
          <w:color w:val="000000"/>
        </w:rPr>
        <w:t xml:space="preserve"> les frais de réparation et d'entretien courants, à l'exclusion de tous les travaux d'amélioration. La modernisation d'une boutique comme un changement d'escalier entre dans cette dernière catégorie. Deux exceptions : le désamiantage ou les travaux pour favoriser l'accueil des handicapés. </w:t>
      </w:r>
    </w:p>
    <w:p w:rsidR="001F0910" w:rsidRDefault="001F0910" w:rsidP="001F0910">
      <w:pPr>
        <w:pStyle w:val="Titre3"/>
        <w:shd w:val="clear" w:color="auto" w:fill="FFFFFF"/>
        <w:rPr>
          <w:color w:val="000000"/>
        </w:rPr>
      </w:pPr>
      <w:r>
        <w:rPr>
          <w:color w:val="000000"/>
        </w:rPr>
        <w:t>Travaux avant relocation</w:t>
      </w:r>
    </w:p>
    <w:p w:rsidR="001F0910" w:rsidRDefault="001F0910" w:rsidP="001F0910">
      <w:pPr>
        <w:pStyle w:val="NormalWeb"/>
        <w:shd w:val="clear" w:color="auto" w:fill="FFFFFF"/>
        <w:rPr>
          <w:color w:val="000000"/>
        </w:rPr>
      </w:pPr>
      <w:r>
        <w:rPr>
          <w:color w:val="000000"/>
        </w:rPr>
        <w:t xml:space="preserve">Le coût des travaux de remise en état réalisés afin d'assurer la mise en location d'un bien ou sa location à un prix plus élevé est déductible. Il convient de l'inscrire </w:t>
      </w:r>
      <w:r>
        <w:rPr>
          <w:rStyle w:val="lev"/>
          <w:color w:val="000000"/>
        </w:rPr>
        <w:t>ligne 224 de l'imprimé 2044</w:t>
      </w:r>
      <w:r>
        <w:rPr>
          <w:color w:val="000000"/>
        </w:rPr>
        <w:t>. </w:t>
      </w:r>
    </w:p>
    <w:p w:rsidR="001F0910" w:rsidRDefault="001F0910" w:rsidP="001F0910">
      <w:pPr>
        <w:pStyle w:val="Titre3"/>
        <w:shd w:val="clear" w:color="auto" w:fill="FFFFFF"/>
        <w:rPr>
          <w:color w:val="000000"/>
        </w:rPr>
      </w:pPr>
      <w:r>
        <w:rPr>
          <w:color w:val="000000"/>
        </w:rPr>
        <w:t>Travaux avant revente d'un bien</w:t>
      </w:r>
    </w:p>
    <w:p w:rsidR="001F0910" w:rsidRDefault="001F0910" w:rsidP="001F0910">
      <w:pPr>
        <w:pStyle w:val="NormalWeb"/>
        <w:shd w:val="clear" w:color="auto" w:fill="FFFFFF"/>
        <w:rPr>
          <w:color w:val="000000"/>
        </w:rPr>
      </w:pPr>
      <w:r>
        <w:rPr>
          <w:color w:val="000000"/>
        </w:rPr>
        <w:t>Le contribuable ne peut jamais déduire de ses loyers les frais facturés après le départ de son locataire, sauf s'il s'agit de relouer son local rapidement. Ces travaux peuvent, en revanche, minorer la plus-value. </w:t>
      </w:r>
    </w:p>
    <w:p w:rsidR="001F0910" w:rsidRDefault="001F0910" w:rsidP="001F0910">
      <w:pPr>
        <w:pStyle w:val="Titre3"/>
        <w:shd w:val="clear" w:color="auto" w:fill="FFFFFF"/>
        <w:rPr>
          <w:color w:val="000000"/>
        </w:rPr>
      </w:pPr>
      <w:r>
        <w:rPr>
          <w:color w:val="000000"/>
        </w:rPr>
        <w:t>Charges de copropriété</w:t>
      </w:r>
    </w:p>
    <w:p w:rsidR="001F0910" w:rsidRDefault="001F0910" w:rsidP="001F0910">
      <w:pPr>
        <w:pStyle w:val="NormalWeb"/>
        <w:shd w:val="clear" w:color="auto" w:fill="FFFFFF"/>
        <w:rPr>
          <w:color w:val="000000"/>
        </w:rPr>
      </w:pPr>
      <w:r>
        <w:rPr>
          <w:color w:val="000000"/>
        </w:rPr>
        <w:t xml:space="preserve">Pour les charges courantes, </w:t>
      </w:r>
      <w:r>
        <w:rPr>
          <w:rStyle w:val="lev"/>
          <w:color w:val="000000"/>
        </w:rPr>
        <w:t>lignes 221 à 230 de l'imprimé 2044</w:t>
      </w:r>
      <w:r>
        <w:rPr>
          <w:color w:val="000000"/>
        </w:rPr>
        <w:t xml:space="preserve">, le contribuable peut seulement déduire la part non répercutée sur son locataire. Schématiquement, on estime qu'un bailleur peut déduire de 20 à 30 % de ses charges annuelles courantes de copropriété. L'exercice est plus facile pour les travaux importants, grâce aux appels de fonds spécifiques, certains de ces travaux non </w:t>
      </w:r>
      <w:proofErr w:type="spellStart"/>
      <w:r>
        <w:rPr>
          <w:color w:val="000000"/>
        </w:rPr>
        <w:t>répercutables</w:t>
      </w:r>
      <w:proofErr w:type="spellEnd"/>
      <w:r>
        <w:rPr>
          <w:color w:val="000000"/>
        </w:rPr>
        <w:t xml:space="preserve"> sur les locataires étant déductibles en totalité. A </w:t>
      </w:r>
      <w:r>
        <w:rPr>
          <w:color w:val="000000"/>
        </w:rPr>
        <w:lastRenderedPageBreak/>
        <w:t xml:space="preserve">noter que la totalité des provisions </w:t>
      </w:r>
      <w:bookmarkStart w:id="0" w:name="_GoBack"/>
      <w:bookmarkEnd w:id="0"/>
      <w:r>
        <w:rPr>
          <w:color w:val="000000"/>
        </w:rPr>
        <w:t xml:space="preserve">pour travaux versées au syndic est déductible, même si ce dernier n'a payé qu'une part des factures aux artisans dans l'année. Attention aussi à ne pas imputer deux fois les frais de concierge et de gérance du syndic. Dans une copropriété, ils figurent dans les charges générales. Il ne faut pas les mentionner deux fois en </w:t>
      </w:r>
      <w:r>
        <w:rPr>
          <w:rStyle w:val="lev"/>
          <w:color w:val="000000"/>
        </w:rPr>
        <w:t>ligne 229 et en ligne 221</w:t>
      </w:r>
      <w:r>
        <w:rPr>
          <w:color w:val="000000"/>
        </w:rPr>
        <w:t xml:space="preserve"> ! </w:t>
      </w:r>
    </w:p>
    <w:p w:rsidR="001F0910" w:rsidRDefault="001F0910" w:rsidP="001F0910">
      <w:pPr>
        <w:pStyle w:val="Titre3"/>
        <w:shd w:val="clear" w:color="auto" w:fill="FFFFFF"/>
        <w:rPr>
          <w:color w:val="000000"/>
        </w:rPr>
      </w:pPr>
      <w:r>
        <w:rPr>
          <w:color w:val="000000"/>
        </w:rPr>
        <w:t>Intérêts d'emprunt</w:t>
      </w:r>
    </w:p>
    <w:p w:rsidR="001F0910" w:rsidRDefault="001F0910" w:rsidP="001F0910">
      <w:pPr>
        <w:pStyle w:val="NormalWeb"/>
        <w:shd w:val="clear" w:color="auto" w:fill="FFFFFF"/>
        <w:rPr>
          <w:color w:val="000000"/>
        </w:rPr>
      </w:pPr>
      <w:r>
        <w:rPr>
          <w:color w:val="000000"/>
        </w:rPr>
        <w:t xml:space="preserve">Les intérêts </w:t>
      </w:r>
      <w:r>
        <w:rPr>
          <w:rStyle w:val="lev"/>
          <w:color w:val="000000"/>
        </w:rPr>
        <w:t>(lignes 250 et 410 de l'imprimé 2044</w:t>
      </w:r>
      <w:r>
        <w:rPr>
          <w:color w:val="000000"/>
        </w:rPr>
        <w:t>) sont déductibles sans limite de montant ou de durée. Le contribuable doit se reporter à son échéancier et additionner les échéances mensuelles versées en 2012 hors remboursement du capital. Il peut y intégrer les frais liés à la souscription du crédit : frais de dossier, d'hypothèque, intérêts intercalaires, cotisations d'assurance-décès... S'il a hérité d'un bien loué, il peut aussi déduire les intérêts des prêts contractés pour payer les droits ou les intérêts facturés par l'Administration en cas de paiement différé ou fractionné. En revanche, les primes versées sur une assurance vie contractée pour garantir un prêt in fine ne sont pas déductibles. </w:t>
      </w:r>
    </w:p>
    <w:p w:rsidR="001F0910" w:rsidRDefault="001F0910" w:rsidP="001F0910">
      <w:pPr>
        <w:shd w:val="clear" w:color="auto" w:fill="FFFFFF"/>
        <w:rPr>
          <w:color w:val="000000"/>
        </w:rPr>
      </w:pPr>
      <w:r>
        <w:rPr>
          <w:color w:val="000000"/>
        </w:rPr>
        <w:br/>
        <w:t xml:space="preserve">En savoir plus sur </w:t>
      </w:r>
      <w:hyperlink r:id="rId10" w:anchor="qQAdbU0W7LFBlQpy.99" w:history="1">
        <w:r>
          <w:rPr>
            <w:rStyle w:val="Lienhypertexte"/>
            <w:color w:val="003399"/>
          </w:rPr>
          <w:t>http://votreargent.lexpress.fr/impots/les-revenus-fonciers-les-charges-deductibles-dans-le-regime-reel_129748.html#qQAdbU0W7LFBlQpy.99</w:t>
        </w:r>
      </w:hyperlink>
    </w:p>
    <w:p w:rsidR="001F0910" w:rsidRDefault="001F0910" w:rsidP="001F0910"/>
    <w:p w:rsidR="00B8173F" w:rsidRDefault="00B8173F" w:rsidP="001F0910"/>
    <w:p w:rsidR="001F0910" w:rsidRDefault="001F0910" w:rsidP="001F0910">
      <w:r>
        <w:t>420 * 12 = 5400</w:t>
      </w:r>
    </w:p>
    <w:p w:rsidR="001F0910" w:rsidRDefault="001F0910" w:rsidP="001F0910">
      <w:r>
        <w:t>5400 * 70% = 3528</w:t>
      </w:r>
    </w:p>
    <w:p w:rsidR="00DC3EA7" w:rsidRDefault="00DC3EA7" w:rsidP="001F0910">
      <w:r>
        <w:t xml:space="preserve">Delta : 5400 – 3528 = </w:t>
      </w:r>
      <w:r w:rsidR="00A44B51">
        <w:t>1872</w:t>
      </w:r>
    </w:p>
    <w:p w:rsidR="00A23528" w:rsidRDefault="00A23528" w:rsidP="001F0910">
      <w:r>
        <w:t xml:space="preserve">Charge : </w:t>
      </w:r>
      <w:r w:rsidR="00882119">
        <w:t xml:space="preserve">taxe </w:t>
      </w:r>
      <w:r w:rsidR="00EA4458">
        <w:t>foncière</w:t>
      </w:r>
      <w:r w:rsidR="006332BB">
        <w:t>-</w:t>
      </w:r>
    </w:p>
    <w:p w:rsidR="00B25B26" w:rsidRDefault="00B25B26" w:rsidP="001F0910"/>
    <w:p w:rsidR="00B25B26" w:rsidRDefault="00B25B26" w:rsidP="001F0910">
      <w:r>
        <w:t>Calcul impôt sur le revenu</w:t>
      </w:r>
    </w:p>
    <w:p w:rsidR="00AE2843" w:rsidRDefault="00AE2843" w:rsidP="001F0910">
      <w:r>
        <w:t>Exemple : 33000 + 3528</w:t>
      </w:r>
      <w:r w:rsidR="009C21FC">
        <w:t xml:space="preserve"> = 36528</w:t>
      </w:r>
    </w:p>
    <w:p w:rsidR="009C21FC" w:rsidRDefault="009C21FC" w:rsidP="001F0910">
      <w:r>
        <w:t xml:space="preserve">36528 – 10% = 32876 </w:t>
      </w:r>
    </w:p>
    <w:p w:rsidR="009C21FC" w:rsidRDefault="009C21FC" w:rsidP="001F0910">
      <w:r>
        <w:t>Déduction 7 + 360 = 367 = 32509</w:t>
      </w:r>
    </w:p>
    <w:p w:rsidR="009C21FC" w:rsidRDefault="009C21FC" w:rsidP="001F0910"/>
    <w:p w:rsidR="009C21FC" w:rsidRDefault="009C21FC" w:rsidP="009C21FC">
      <w:r>
        <w:t xml:space="preserve"> 0.055 = 329</w:t>
      </w:r>
      <w:r>
        <w:t xml:space="preserve"> </w:t>
      </w:r>
    </w:p>
    <w:p w:rsidR="009C21FC" w:rsidRDefault="009C21FC" w:rsidP="009C21FC">
      <w:r>
        <w:t>0.14 = 2049.6</w:t>
      </w:r>
      <w:r>
        <w:t xml:space="preserve"> </w:t>
      </w:r>
    </w:p>
    <w:p w:rsidR="009C21FC" w:rsidRDefault="009C21FC" w:rsidP="009C21FC">
      <w:r>
        <w:t xml:space="preserve"> </w:t>
      </w:r>
      <w:r>
        <w:t xml:space="preserve">(32509- </w:t>
      </w:r>
      <w:proofErr w:type="gramStart"/>
      <w:r>
        <w:t>26631 )</w:t>
      </w:r>
      <w:proofErr w:type="gramEnd"/>
      <w:r>
        <w:t xml:space="preserve"> * 0.3 = </w:t>
      </w:r>
      <w:r>
        <w:t>1763.4</w:t>
      </w:r>
    </w:p>
    <w:p w:rsidR="009C21FC" w:rsidRDefault="009C21FC" w:rsidP="009C21FC">
      <w:r>
        <w:t>2049+329</w:t>
      </w:r>
      <w:r>
        <w:t>+1763.4</w:t>
      </w:r>
      <w:r>
        <w:t xml:space="preserve"> = </w:t>
      </w:r>
      <w:r>
        <w:t>4141.4  soit 345 euros par mois</w:t>
      </w:r>
    </w:p>
    <w:p w:rsidR="009C21FC" w:rsidRDefault="006332BB" w:rsidP="001F0910">
      <w:r>
        <w:rPr>
          <w:noProof/>
          <w:lang w:eastAsia="fr-FR"/>
        </w:rPr>
        <w:lastRenderedPageBreak/>
        <w:drawing>
          <wp:inline distT="0" distB="0" distL="0" distR="0" wp14:anchorId="614AC19A" wp14:editId="3D433F00">
            <wp:extent cx="5760720" cy="3366647"/>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3366647"/>
                    </a:xfrm>
                    <a:prstGeom prst="rect">
                      <a:avLst/>
                    </a:prstGeom>
                  </pic:spPr>
                </pic:pic>
              </a:graphicData>
            </a:graphic>
          </wp:inline>
        </w:drawing>
      </w:r>
    </w:p>
    <w:p w:rsidR="00D41677" w:rsidRDefault="008A402D" w:rsidP="001F0910">
      <w:hyperlink r:id="rId12" w:history="1">
        <w:r w:rsidRPr="00261CC5">
          <w:rPr>
            <w:rStyle w:val="Lienhypertexte"/>
          </w:rPr>
          <w:t>http://www.bforbank.com/epargne/fiscalite/simulateur-calcul-impot-revenu.html</w:t>
        </w:r>
      </w:hyperlink>
    </w:p>
    <w:p w:rsidR="008A402D" w:rsidRDefault="008A402D" w:rsidP="001F0910">
      <w:r>
        <w:t>1.6 * 2 = 3.2</w:t>
      </w:r>
    </w:p>
    <w:p w:rsidR="008A402D" w:rsidRDefault="008A402D" w:rsidP="001F0910">
      <w:r>
        <w:t>3.2 * 4 = 12.8</w:t>
      </w:r>
    </w:p>
    <w:p w:rsidR="00C44DF4" w:rsidRDefault="00C44DF4" w:rsidP="001F0910">
      <w:r>
        <w:t>2 * 2 * 4 = 16 m2</w:t>
      </w:r>
    </w:p>
    <w:p w:rsidR="007B7877" w:rsidRPr="007B7877" w:rsidRDefault="007B7877" w:rsidP="007B7877">
      <w:pPr>
        <w:pStyle w:val="Titre1"/>
        <w:rPr>
          <w:sz w:val="24"/>
          <w:szCs w:val="24"/>
        </w:rPr>
      </w:pPr>
      <w:r w:rsidRPr="007B7877">
        <w:rPr>
          <w:sz w:val="24"/>
          <w:szCs w:val="24"/>
        </w:rPr>
        <w:t xml:space="preserve">Peinture spécial carrelage </w:t>
      </w:r>
      <w:proofErr w:type="spellStart"/>
      <w:r w:rsidRPr="007B7877">
        <w:rPr>
          <w:sz w:val="24"/>
          <w:szCs w:val="24"/>
        </w:rPr>
        <w:t>Caropeint</w:t>
      </w:r>
      <w:proofErr w:type="spellEnd"/>
      <w:r w:rsidRPr="007B7877">
        <w:rPr>
          <w:sz w:val="24"/>
          <w:szCs w:val="24"/>
        </w:rPr>
        <w:t xml:space="preserve"> Julien 0,5L</w:t>
      </w:r>
    </w:p>
    <w:p w:rsidR="007B7877" w:rsidRDefault="007B7877" w:rsidP="001F0910">
      <w:r>
        <w:t xml:space="preserve">Gris </w:t>
      </w:r>
      <w:r w:rsidR="005714C1">
        <w:t>anthracite</w:t>
      </w:r>
    </w:p>
    <w:p w:rsidR="007B7877" w:rsidRDefault="007B7877" w:rsidP="001F0910">
      <w:r>
        <w:t>Adhère directement sans sous-couche</w:t>
      </w:r>
    </w:p>
    <w:p w:rsidR="001D3001" w:rsidRDefault="001D3001" w:rsidP="001F0910">
      <w:r>
        <w:t xml:space="preserve">Le conseiller m'a dit que tout contrat ne couvrant pas </w:t>
      </w:r>
      <w:proofErr w:type="gramStart"/>
      <w:r>
        <w:t xml:space="preserve">les sinistre de nature </w:t>
      </w:r>
      <w:r>
        <w:br/>
        <w:t>PSYCHIATRIQUE</w:t>
      </w:r>
      <w:proofErr w:type="gramEnd"/>
      <w:r>
        <w:t xml:space="preserve"> et Disco-vertébrales serait </w:t>
      </w:r>
      <w:proofErr w:type="spellStart"/>
      <w:r>
        <w:t>systématiqument</w:t>
      </w:r>
      <w:proofErr w:type="spellEnd"/>
      <w:r>
        <w:t xml:space="preserve"> rejeté.</w:t>
      </w:r>
    </w:p>
    <w:p w:rsidR="0014529B" w:rsidRDefault="0014529B" w:rsidP="001F0910">
      <w:r w:rsidRPr="0014529B">
        <w:t>http://www.logissim.com/show_images/big/pe0712.pdf</w:t>
      </w:r>
    </w:p>
    <w:sectPr w:rsidR="001452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F2273"/>
    <w:multiLevelType w:val="hybridMultilevel"/>
    <w:tmpl w:val="E92E41E8"/>
    <w:lvl w:ilvl="0" w:tplc="17661DA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A8038C8"/>
    <w:multiLevelType w:val="multilevel"/>
    <w:tmpl w:val="0FF0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FE5"/>
    <w:rsid w:val="0014529B"/>
    <w:rsid w:val="001D3001"/>
    <w:rsid w:val="001E0135"/>
    <w:rsid w:val="001F0910"/>
    <w:rsid w:val="002A74A2"/>
    <w:rsid w:val="003849B9"/>
    <w:rsid w:val="00455D34"/>
    <w:rsid w:val="004E47FC"/>
    <w:rsid w:val="005269FE"/>
    <w:rsid w:val="005714C1"/>
    <w:rsid w:val="00594FE5"/>
    <w:rsid w:val="005D2636"/>
    <w:rsid w:val="006332BB"/>
    <w:rsid w:val="007B7877"/>
    <w:rsid w:val="00877FEB"/>
    <w:rsid w:val="00882119"/>
    <w:rsid w:val="008A402D"/>
    <w:rsid w:val="00922DDA"/>
    <w:rsid w:val="009B3FE0"/>
    <w:rsid w:val="009C21FC"/>
    <w:rsid w:val="00A23528"/>
    <w:rsid w:val="00A44B51"/>
    <w:rsid w:val="00A83094"/>
    <w:rsid w:val="00AE2843"/>
    <w:rsid w:val="00B237A3"/>
    <w:rsid w:val="00B25B26"/>
    <w:rsid w:val="00B70BCE"/>
    <w:rsid w:val="00B8173F"/>
    <w:rsid w:val="00C44DF4"/>
    <w:rsid w:val="00C943FC"/>
    <w:rsid w:val="00D41677"/>
    <w:rsid w:val="00DC3EA7"/>
    <w:rsid w:val="00EA4458"/>
    <w:rsid w:val="00EA5B42"/>
    <w:rsid w:val="00F81807"/>
    <w:rsid w:val="00FF7E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2A74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1F09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94F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4FE5"/>
    <w:rPr>
      <w:rFonts w:ascii="Tahoma" w:hAnsi="Tahoma" w:cs="Tahoma"/>
      <w:sz w:val="16"/>
      <w:szCs w:val="16"/>
    </w:rPr>
  </w:style>
  <w:style w:type="paragraph" w:styleId="Paragraphedeliste">
    <w:name w:val="List Paragraph"/>
    <w:basedOn w:val="Normal"/>
    <w:uiPriority w:val="34"/>
    <w:qFormat/>
    <w:rsid w:val="001E0135"/>
    <w:pPr>
      <w:ind w:left="720"/>
      <w:contextualSpacing/>
    </w:pPr>
  </w:style>
  <w:style w:type="character" w:styleId="Lienhypertexte">
    <w:name w:val="Hyperlink"/>
    <w:basedOn w:val="Policepardfaut"/>
    <w:uiPriority w:val="99"/>
    <w:unhideWhenUsed/>
    <w:rsid w:val="001E0135"/>
    <w:rPr>
      <w:color w:val="0000FF"/>
      <w:u w:val="single"/>
    </w:rPr>
  </w:style>
  <w:style w:type="paragraph" w:styleId="NormalWeb">
    <w:name w:val="Normal (Web)"/>
    <w:basedOn w:val="Normal"/>
    <w:uiPriority w:val="99"/>
    <w:semiHidden/>
    <w:unhideWhenUsed/>
    <w:rsid w:val="001E013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x">
    <w:name w:val="prix"/>
    <w:basedOn w:val="Policepardfaut"/>
    <w:rsid w:val="001E0135"/>
  </w:style>
  <w:style w:type="character" w:customStyle="1" w:styleId="Titre1Car">
    <w:name w:val="Titre 1 Car"/>
    <w:basedOn w:val="Policepardfaut"/>
    <w:link w:val="Titre1"/>
    <w:uiPriority w:val="9"/>
    <w:rsid w:val="002A74A2"/>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semiHidden/>
    <w:rsid w:val="001F0910"/>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1F09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2A74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1F09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94F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4FE5"/>
    <w:rPr>
      <w:rFonts w:ascii="Tahoma" w:hAnsi="Tahoma" w:cs="Tahoma"/>
      <w:sz w:val="16"/>
      <w:szCs w:val="16"/>
    </w:rPr>
  </w:style>
  <w:style w:type="paragraph" w:styleId="Paragraphedeliste">
    <w:name w:val="List Paragraph"/>
    <w:basedOn w:val="Normal"/>
    <w:uiPriority w:val="34"/>
    <w:qFormat/>
    <w:rsid w:val="001E0135"/>
    <w:pPr>
      <w:ind w:left="720"/>
      <w:contextualSpacing/>
    </w:pPr>
  </w:style>
  <w:style w:type="character" w:styleId="Lienhypertexte">
    <w:name w:val="Hyperlink"/>
    <w:basedOn w:val="Policepardfaut"/>
    <w:uiPriority w:val="99"/>
    <w:unhideWhenUsed/>
    <w:rsid w:val="001E0135"/>
    <w:rPr>
      <w:color w:val="0000FF"/>
      <w:u w:val="single"/>
    </w:rPr>
  </w:style>
  <w:style w:type="paragraph" w:styleId="NormalWeb">
    <w:name w:val="Normal (Web)"/>
    <w:basedOn w:val="Normal"/>
    <w:uiPriority w:val="99"/>
    <w:semiHidden/>
    <w:unhideWhenUsed/>
    <w:rsid w:val="001E013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x">
    <w:name w:val="prix"/>
    <w:basedOn w:val="Policepardfaut"/>
    <w:rsid w:val="001E0135"/>
  </w:style>
  <w:style w:type="character" w:customStyle="1" w:styleId="Titre1Car">
    <w:name w:val="Titre 1 Car"/>
    <w:basedOn w:val="Policepardfaut"/>
    <w:link w:val="Titre1"/>
    <w:uiPriority w:val="9"/>
    <w:rsid w:val="002A74A2"/>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semiHidden/>
    <w:rsid w:val="001F0910"/>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1F09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635513">
      <w:bodyDiv w:val="1"/>
      <w:marLeft w:val="0"/>
      <w:marRight w:val="0"/>
      <w:marTop w:val="0"/>
      <w:marBottom w:val="0"/>
      <w:divBdr>
        <w:top w:val="none" w:sz="0" w:space="0" w:color="auto"/>
        <w:left w:val="none" w:sz="0" w:space="0" w:color="auto"/>
        <w:bottom w:val="none" w:sz="0" w:space="0" w:color="auto"/>
        <w:right w:val="none" w:sz="0" w:space="0" w:color="auto"/>
      </w:divBdr>
    </w:div>
    <w:div w:id="461657318">
      <w:bodyDiv w:val="1"/>
      <w:marLeft w:val="0"/>
      <w:marRight w:val="0"/>
      <w:marTop w:val="0"/>
      <w:marBottom w:val="0"/>
      <w:divBdr>
        <w:top w:val="none" w:sz="0" w:space="0" w:color="auto"/>
        <w:left w:val="none" w:sz="0" w:space="0" w:color="auto"/>
        <w:bottom w:val="none" w:sz="0" w:space="0" w:color="auto"/>
        <w:right w:val="none" w:sz="0" w:space="0" w:color="auto"/>
      </w:divBdr>
    </w:div>
    <w:div w:id="655374816">
      <w:bodyDiv w:val="1"/>
      <w:marLeft w:val="0"/>
      <w:marRight w:val="0"/>
      <w:marTop w:val="0"/>
      <w:marBottom w:val="0"/>
      <w:divBdr>
        <w:top w:val="none" w:sz="0" w:space="0" w:color="auto"/>
        <w:left w:val="none" w:sz="0" w:space="0" w:color="auto"/>
        <w:bottom w:val="none" w:sz="0" w:space="0" w:color="auto"/>
        <w:right w:val="none" w:sz="0" w:space="0" w:color="auto"/>
      </w:divBdr>
    </w:div>
    <w:div w:id="1156069415">
      <w:bodyDiv w:val="1"/>
      <w:marLeft w:val="0"/>
      <w:marRight w:val="0"/>
      <w:marTop w:val="0"/>
      <w:marBottom w:val="0"/>
      <w:divBdr>
        <w:top w:val="none" w:sz="0" w:space="0" w:color="auto"/>
        <w:left w:val="none" w:sz="0" w:space="0" w:color="auto"/>
        <w:bottom w:val="none" w:sz="0" w:space="0" w:color="auto"/>
        <w:right w:val="none" w:sz="0" w:space="0" w:color="auto"/>
      </w:divBdr>
    </w:div>
    <w:div w:id="1331173197">
      <w:bodyDiv w:val="1"/>
      <w:marLeft w:val="0"/>
      <w:marRight w:val="0"/>
      <w:marTop w:val="0"/>
      <w:marBottom w:val="0"/>
      <w:divBdr>
        <w:top w:val="none" w:sz="0" w:space="0" w:color="auto"/>
        <w:left w:val="none" w:sz="0" w:space="0" w:color="auto"/>
        <w:bottom w:val="none" w:sz="0" w:space="0" w:color="auto"/>
        <w:right w:val="none" w:sz="0" w:space="0" w:color="auto"/>
      </w:divBdr>
    </w:div>
    <w:div w:id="190579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osdroits.service-public.fr/particuliers/R1283.x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ap.fr/conseils/copropriete" TargetMode="External"/><Relationship Id="rId12" Type="http://schemas.openxmlformats.org/officeDocument/2006/relationships/hyperlink" Target="http://www.bforbank.com/epargne/fiscalite/simulateur-calcul-impot-reven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votreargent.lexpress.fr/impots/les-revenus-fonciers-les-charges-deductibles-dans-le-regime-reel_129748.html" TargetMode="External"/><Relationship Id="rId4" Type="http://schemas.openxmlformats.org/officeDocument/2006/relationships/settings" Target="settings.xml"/><Relationship Id="rId9" Type="http://schemas.openxmlformats.org/officeDocument/2006/relationships/hyperlink" Target="http://vosdroits.service-public.fr/particuliers/R1281.x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1146</Words>
  <Characters>6309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28</cp:revision>
  <dcterms:created xsi:type="dcterms:W3CDTF">2013-10-23T18:54:00Z</dcterms:created>
  <dcterms:modified xsi:type="dcterms:W3CDTF">2013-10-24T21:06:00Z</dcterms:modified>
</cp:coreProperties>
</file>